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3D" w:rsidRPr="00FD636B" w:rsidRDefault="002F2BC8" w:rsidP="002F2BC8">
      <w:pPr>
        <w:spacing w:line="276" w:lineRule="auto"/>
        <w:jc w:val="center"/>
        <w:rPr>
          <w:b/>
          <w:color w:val="000000"/>
        </w:rPr>
      </w:pPr>
      <w:r w:rsidRPr="00FD636B">
        <w:rPr>
          <w:b/>
          <w:color w:val="000000"/>
        </w:rPr>
        <w:t>RESOLUCIÓN</w:t>
      </w:r>
      <w:r w:rsidR="00143B3D" w:rsidRPr="00FD636B">
        <w:rPr>
          <w:b/>
          <w:color w:val="000000"/>
        </w:rPr>
        <w:t xml:space="preserve"> N. </w:t>
      </w:r>
      <w:proofErr w:type="spellStart"/>
      <w:r w:rsidR="00143B3D" w:rsidRPr="00FD636B">
        <w:rPr>
          <w:b/>
          <w:color w:val="000000"/>
        </w:rPr>
        <w:t>TAT</w:t>
      </w:r>
      <w:proofErr w:type="spellEnd"/>
      <w:r w:rsidR="00143B3D" w:rsidRPr="00FD636B">
        <w:rPr>
          <w:b/>
          <w:color w:val="000000"/>
        </w:rPr>
        <w:t>-</w:t>
      </w:r>
      <w:r w:rsidR="007E31B5" w:rsidRPr="00FD636B">
        <w:rPr>
          <w:b/>
          <w:color w:val="000000"/>
        </w:rPr>
        <w:t>3002</w:t>
      </w:r>
      <w:r w:rsidR="00143B3D" w:rsidRPr="00FD636B">
        <w:rPr>
          <w:b/>
          <w:color w:val="000000"/>
        </w:rPr>
        <w:t>-201</w:t>
      </w:r>
      <w:r w:rsidR="00877EB3" w:rsidRPr="00FD636B">
        <w:rPr>
          <w:b/>
          <w:color w:val="000000"/>
        </w:rPr>
        <w:t>6</w:t>
      </w:r>
    </w:p>
    <w:p w:rsidR="00143B3D" w:rsidRPr="00FD636B" w:rsidRDefault="00143B3D" w:rsidP="002F2BC8">
      <w:pPr>
        <w:spacing w:line="276" w:lineRule="auto"/>
        <w:jc w:val="center"/>
        <w:rPr>
          <w:color w:val="000000"/>
        </w:rPr>
      </w:pPr>
    </w:p>
    <w:p w:rsidR="00143B3D" w:rsidRPr="00FD636B" w:rsidRDefault="00143B3D" w:rsidP="002F2BC8">
      <w:pPr>
        <w:spacing w:line="276" w:lineRule="auto"/>
        <w:jc w:val="both"/>
        <w:rPr>
          <w:color w:val="000000"/>
        </w:rPr>
      </w:pPr>
      <w:r w:rsidRPr="00FD636B">
        <w:rPr>
          <w:b/>
          <w:color w:val="000000"/>
        </w:rPr>
        <w:t>TRIBUNAL</w:t>
      </w:r>
      <w:r w:rsidR="00877EB3" w:rsidRPr="00FD636B">
        <w:rPr>
          <w:b/>
          <w:color w:val="000000"/>
        </w:rPr>
        <w:t xml:space="preserve"> ADMINISTRATIVO DE TRANSPORTE. </w:t>
      </w:r>
      <w:r w:rsidR="00877EB3" w:rsidRPr="00FD636B">
        <w:rPr>
          <w:color w:val="000000"/>
        </w:rPr>
        <w:t xml:space="preserve">Curridabat, </w:t>
      </w:r>
      <w:r w:rsidRPr="00FD636B">
        <w:rPr>
          <w:color w:val="000000"/>
        </w:rPr>
        <w:t xml:space="preserve">a las </w:t>
      </w:r>
      <w:r w:rsidR="00731055" w:rsidRPr="00FD636B">
        <w:rPr>
          <w:color w:val="000000"/>
        </w:rPr>
        <w:t>once</w:t>
      </w:r>
      <w:r w:rsidR="00877EB3" w:rsidRPr="00FD636B">
        <w:rPr>
          <w:color w:val="000000"/>
        </w:rPr>
        <w:t xml:space="preserve"> horas con </w:t>
      </w:r>
      <w:r w:rsidR="00446BCA" w:rsidRPr="00FD636B">
        <w:rPr>
          <w:color w:val="000000"/>
        </w:rPr>
        <w:t>treinta y cinco</w:t>
      </w:r>
      <w:r w:rsidR="00877EB3" w:rsidRPr="00FD636B">
        <w:rPr>
          <w:color w:val="000000"/>
        </w:rPr>
        <w:t xml:space="preserve"> minutos del treinta y uno de mayo el dos mil dieciséis.</w:t>
      </w:r>
    </w:p>
    <w:p w:rsidR="00143B3D" w:rsidRPr="00FD636B" w:rsidRDefault="00143B3D" w:rsidP="002F2BC8">
      <w:pPr>
        <w:spacing w:line="276" w:lineRule="auto"/>
        <w:jc w:val="both"/>
        <w:rPr>
          <w:b/>
          <w:color w:val="000000"/>
        </w:rPr>
      </w:pPr>
    </w:p>
    <w:p w:rsidR="00143B3D" w:rsidRPr="00FD636B" w:rsidRDefault="00143B3D" w:rsidP="00D21AEC">
      <w:pPr>
        <w:spacing w:line="276" w:lineRule="auto"/>
        <w:jc w:val="both"/>
        <w:rPr>
          <w:b/>
          <w:color w:val="000000"/>
        </w:rPr>
      </w:pPr>
      <w:r w:rsidRPr="00FD636B">
        <w:rPr>
          <w:color w:val="000000"/>
        </w:rPr>
        <w:t xml:space="preserve">Se conoce </w:t>
      </w:r>
      <w:r w:rsidRPr="00FD636B">
        <w:rPr>
          <w:b/>
          <w:smallCaps/>
          <w:color w:val="000000"/>
        </w:rPr>
        <w:t xml:space="preserve">Recurso </w:t>
      </w:r>
      <w:r w:rsidR="00D21AEC" w:rsidRPr="00FD636B">
        <w:rPr>
          <w:b/>
          <w:smallCaps/>
          <w:color w:val="000000"/>
        </w:rPr>
        <w:t>de Apelación en Subsidio</w:t>
      </w:r>
      <w:r w:rsidR="00507342" w:rsidRPr="00FD636B">
        <w:rPr>
          <w:b/>
          <w:smallCaps/>
          <w:color w:val="000000"/>
        </w:rPr>
        <w:t xml:space="preserve"> y nulidad concomitante</w:t>
      </w:r>
      <w:r w:rsidR="00D21AEC" w:rsidRPr="00FD636B">
        <w:rPr>
          <w:smallCaps/>
          <w:color w:val="000000"/>
        </w:rPr>
        <w:t>,</w:t>
      </w:r>
      <w:r w:rsidR="00D21AEC" w:rsidRPr="00FD636B">
        <w:rPr>
          <w:b/>
          <w:smallCaps/>
          <w:color w:val="000000"/>
        </w:rPr>
        <w:t xml:space="preserve"> </w:t>
      </w:r>
      <w:r w:rsidR="00D21AEC" w:rsidRPr="00FD636B">
        <w:rPr>
          <w:color w:val="000000"/>
        </w:rPr>
        <w:t xml:space="preserve">interpuesto por </w:t>
      </w:r>
      <w:proofErr w:type="spellStart"/>
      <w:r w:rsidR="00507342" w:rsidRPr="00FD636B">
        <w:rPr>
          <w:b/>
          <w:smallCaps/>
          <w:color w:val="000000"/>
        </w:rPr>
        <w:t>T</w:t>
      </w:r>
      <w:r w:rsidR="00A35DD6">
        <w:rPr>
          <w:b/>
          <w:smallCaps/>
          <w:color w:val="000000"/>
        </w:rPr>
        <w:t>AH</w:t>
      </w:r>
      <w:proofErr w:type="spellEnd"/>
      <w:r w:rsidR="00A35DD6">
        <w:rPr>
          <w:b/>
          <w:smallCaps/>
          <w:color w:val="000000"/>
        </w:rPr>
        <w:t xml:space="preserve"> </w:t>
      </w:r>
      <w:r w:rsidR="00507342" w:rsidRPr="00FD636B">
        <w:rPr>
          <w:b/>
          <w:smallCaps/>
          <w:color w:val="000000"/>
        </w:rPr>
        <w:t xml:space="preserve">, </w:t>
      </w:r>
      <w:r w:rsidR="00507342" w:rsidRPr="00FD636B">
        <w:rPr>
          <w:color w:val="000000"/>
        </w:rPr>
        <w:t xml:space="preserve">cédula jurídica </w:t>
      </w:r>
      <w:r w:rsidR="00A35DD6">
        <w:rPr>
          <w:color w:val="000000"/>
        </w:rPr>
        <w:t>…</w:t>
      </w:r>
      <w:r w:rsidR="00507342" w:rsidRPr="00FD636B">
        <w:rPr>
          <w:color w:val="000000"/>
        </w:rPr>
        <w:t xml:space="preserve">, representada por </w:t>
      </w:r>
      <w:r w:rsidR="00306070">
        <w:rPr>
          <w:color w:val="000000"/>
        </w:rPr>
        <w:t>MAC</w:t>
      </w:r>
      <w:r w:rsidR="00507342" w:rsidRPr="00FD636B">
        <w:rPr>
          <w:color w:val="000000"/>
        </w:rPr>
        <w:t xml:space="preserve">, cédula de identidad </w:t>
      </w:r>
      <w:r w:rsidR="00A35DD6">
        <w:rPr>
          <w:color w:val="000000"/>
        </w:rPr>
        <w:t>…</w:t>
      </w:r>
      <w:r w:rsidR="00507342" w:rsidRPr="00FD636B">
        <w:rPr>
          <w:color w:val="000000"/>
        </w:rPr>
        <w:t xml:space="preserve">, en condición de </w:t>
      </w:r>
      <w:r w:rsidR="00306070">
        <w:rPr>
          <w:color w:val="000000"/>
        </w:rPr>
        <w:t>:::::::::</w:t>
      </w:r>
      <w:r w:rsidR="00507342" w:rsidRPr="00FD636B">
        <w:rPr>
          <w:color w:val="000000"/>
        </w:rPr>
        <w:t xml:space="preserve">; contra del </w:t>
      </w:r>
      <w:r w:rsidR="00507342" w:rsidRPr="00FD636B">
        <w:rPr>
          <w:b/>
          <w:color w:val="000000"/>
        </w:rPr>
        <w:t>Artículo 7.6 de la Sesión Ordinaria 36-2015 del 24 de junio del 2015</w:t>
      </w:r>
      <w:r w:rsidRPr="00FD636B">
        <w:rPr>
          <w:color w:val="000000"/>
        </w:rPr>
        <w:t>,</w:t>
      </w:r>
      <w:r w:rsidR="00D21AEC" w:rsidRPr="00FD636B">
        <w:rPr>
          <w:color w:val="000000"/>
        </w:rPr>
        <w:t xml:space="preserve"> </w:t>
      </w:r>
      <w:r w:rsidRPr="00FD636B">
        <w:rPr>
          <w:color w:val="000000"/>
        </w:rPr>
        <w:t>dictado por la Junta Directiva del Consejo de Transporte Público</w:t>
      </w:r>
      <w:r w:rsidR="002F2BC8" w:rsidRPr="00FD636B">
        <w:rPr>
          <w:smallCaps/>
          <w:color w:val="000000"/>
        </w:rPr>
        <w:t xml:space="preserve">. </w:t>
      </w:r>
      <w:r w:rsidR="002F2BC8" w:rsidRPr="00FD636B">
        <w:rPr>
          <w:b/>
          <w:color w:val="000000"/>
        </w:rPr>
        <w:t xml:space="preserve">Expediente administrativo </w:t>
      </w:r>
      <w:r w:rsidRPr="00FD636B">
        <w:rPr>
          <w:b/>
          <w:color w:val="000000"/>
        </w:rPr>
        <w:t xml:space="preserve">N. </w:t>
      </w:r>
      <w:proofErr w:type="spellStart"/>
      <w:r w:rsidRPr="00FD636B">
        <w:rPr>
          <w:b/>
          <w:color w:val="000000"/>
        </w:rPr>
        <w:t>TAT</w:t>
      </w:r>
      <w:proofErr w:type="spellEnd"/>
      <w:r w:rsidRPr="00FD636B">
        <w:rPr>
          <w:b/>
          <w:color w:val="000000"/>
        </w:rPr>
        <w:t>-</w:t>
      </w:r>
      <w:r w:rsidR="00446BCA" w:rsidRPr="00FD636B">
        <w:rPr>
          <w:b/>
          <w:color w:val="000000"/>
        </w:rPr>
        <w:t>21-16</w:t>
      </w:r>
      <w:r w:rsidR="002F2BC8" w:rsidRPr="00FD636B">
        <w:rPr>
          <w:b/>
          <w:color w:val="000000"/>
        </w:rPr>
        <w:t>.</w:t>
      </w:r>
    </w:p>
    <w:p w:rsidR="00143B3D" w:rsidRPr="00FD636B" w:rsidRDefault="00143B3D" w:rsidP="00D21AEC">
      <w:pPr>
        <w:spacing w:line="276" w:lineRule="auto"/>
        <w:jc w:val="both"/>
        <w:rPr>
          <w:color w:val="000000"/>
        </w:rPr>
      </w:pPr>
    </w:p>
    <w:p w:rsidR="00143B3D" w:rsidRPr="00FD636B" w:rsidRDefault="00143B3D" w:rsidP="002F2BC8">
      <w:pPr>
        <w:spacing w:line="276" w:lineRule="auto"/>
        <w:jc w:val="center"/>
        <w:rPr>
          <w:b/>
          <w:color w:val="000000"/>
        </w:rPr>
      </w:pPr>
      <w:r w:rsidRPr="00FD636B">
        <w:rPr>
          <w:b/>
          <w:color w:val="000000"/>
        </w:rPr>
        <w:t>RESULTANDO</w:t>
      </w:r>
    </w:p>
    <w:p w:rsidR="003A63DB" w:rsidRPr="00FD636B" w:rsidRDefault="003A63DB" w:rsidP="002F2BC8">
      <w:pPr>
        <w:pStyle w:val="Sinespaciado"/>
        <w:spacing w:line="276" w:lineRule="auto"/>
        <w:rPr>
          <w:color w:val="000000"/>
          <w:lang w:val="es-CR"/>
        </w:rPr>
      </w:pPr>
    </w:p>
    <w:p w:rsidR="00143B3D" w:rsidRPr="00FD636B" w:rsidRDefault="000F075A" w:rsidP="002F2BC8">
      <w:pPr>
        <w:spacing w:line="276" w:lineRule="auto"/>
        <w:jc w:val="both"/>
        <w:rPr>
          <w:color w:val="000000"/>
        </w:rPr>
      </w:pPr>
      <w:r w:rsidRPr="00FD636B">
        <w:rPr>
          <w:b/>
          <w:color w:val="000000"/>
        </w:rPr>
        <w:t>PRIMERO. -</w:t>
      </w:r>
      <w:r w:rsidRPr="00FD636B">
        <w:rPr>
          <w:b/>
          <w:color w:val="000000"/>
        </w:rPr>
        <w:tab/>
      </w:r>
      <w:r w:rsidR="00143B3D" w:rsidRPr="00FD636B">
        <w:rPr>
          <w:color w:val="000000"/>
        </w:rPr>
        <w:t xml:space="preserve">La Junta Directiva del Consejo de Transporte Público mediante el </w:t>
      </w:r>
      <w:r w:rsidR="0013214F" w:rsidRPr="00FD636B">
        <w:rPr>
          <w:b/>
          <w:color w:val="000000"/>
        </w:rPr>
        <w:t>Artículo 7.6</w:t>
      </w:r>
      <w:r w:rsidR="000F0CF2" w:rsidRPr="00FD636B">
        <w:rPr>
          <w:b/>
          <w:color w:val="000000"/>
        </w:rPr>
        <w:t xml:space="preserve"> de la Sesión Ordinaria </w:t>
      </w:r>
      <w:r w:rsidR="0013214F" w:rsidRPr="00FD636B">
        <w:rPr>
          <w:b/>
          <w:color w:val="000000"/>
        </w:rPr>
        <w:t>36</w:t>
      </w:r>
      <w:r w:rsidR="000F0CF2" w:rsidRPr="00FD636B">
        <w:rPr>
          <w:b/>
          <w:color w:val="000000"/>
        </w:rPr>
        <w:t>-2015 del 2</w:t>
      </w:r>
      <w:r w:rsidR="0013214F" w:rsidRPr="00FD636B">
        <w:rPr>
          <w:b/>
          <w:color w:val="000000"/>
        </w:rPr>
        <w:t>4</w:t>
      </w:r>
      <w:r w:rsidR="000F0CF2" w:rsidRPr="00FD636B">
        <w:rPr>
          <w:b/>
          <w:color w:val="000000"/>
        </w:rPr>
        <w:t xml:space="preserve"> de </w:t>
      </w:r>
      <w:r w:rsidR="0013214F" w:rsidRPr="00FD636B">
        <w:rPr>
          <w:b/>
          <w:color w:val="000000"/>
        </w:rPr>
        <w:t>junio</w:t>
      </w:r>
      <w:r w:rsidR="000F0CF2" w:rsidRPr="00FD636B">
        <w:rPr>
          <w:b/>
          <w:color w:val="000000"/>
        </w:rPr>
        <w:t xml:space="preserve"> del 2015</w:t>
      </w:r>
      <w:r w:rsidR="00143B3D" w:rsidRPr="00FD636B">
        <w:rPr>
          <w:color w:val="000000"/>
        </w:rPr>
        <w:t xml:space="preserve"> dispuso</w:t>
      </w:r>
      <w:r w:rsidR="000F0CF2" w:rsidRPr="00FD636B">
        <w:rPr>
          <w:color w:val="000000"/>
        </w:rPr>
        <w:t xml:space="preserve"> lo siguiente</w:t>
      </w:r>
      <w:r w:rsidR="00143B3D" w:rsidRPr="00FD636B">
        <w:rPr>
          <w:color w:val="000000"/>
        </w:rPr>
        <w:t>:</w:t>
      </w:r>
    </w:p>
    <w:p w:rsidR="00143B3D" w:rsidRPr="00FD636B" w:rsidRDefault="00143B3D" w:rsidP="000F2D1F">
      <w:pPr>
        <w:ind w:left="567" w:right="616"/>
        <w:jc w:val="both"/>
        <w:rPr>
          <w:b/>
          <w:i/>
          <w:color w:val="000000"/>
          <w:sz w:val="26"/>
          <w:szCs w:val="26"/>
        </w:rPr>
      </w:pPr>
    </w:p>
    <w:p w:rsidR="00B91924" w:rsidRPr="00FD636B" w:rsidRDefault="00812CF5" w:rsidP="00B91924">
      <w:pPr>
        <w:pStyle w:val="Default"/>
        <w:ind w:left="851" w:right="851"/>
        <w:jc w:val="both"/>
        <w:rPr>
          <w:rFonts w:ascii="Times New Roman" w:hAnsi="Times New Roman" w:cs="Times New Roman"/>
          <w:sz w:val="20"/>
          <w:szCs w:val="20"/>
        </w:rPr>
      </w:pPr>
      <w:r w:rsidRPr="00FD636B">
        <w:rPr>
          <w:rFonts w:ascii="Times New Roman" w:eastAsia="Calibri,Bold" w:hAnsi="Times New Roman" w:cs="Times New Roman"/>
          <w:bCs/>
          <w:sz w:val="20"/>
          <w:szCs w:val="20"/>
        </w:rPr>
        <w:t>“</w:t>
      </w:r>
      <w:r w:rsidR="00B91924" w:rsidRPr="00FD636B">
        <w:rPr>
          <w:rFonts w:ascii="Times New Roman" w:hAnsi="Times New Roman" w:cs="Times New Roman"/>
          <w:b/>
          <w:bCs/>
          <w:sz w:val="20"/>
          <w:szCs w:val="20"/>
        </w:rPr>
        <w:t xml:space="preserve">POR TANTO SE ACUERDA: </w:t>
      </w:r>
    </w:p>
    <w:p w:rsidR="00446BCA" w:rsidRPr="00FD636B" w:rsidRDefault="00B91924" w:rsidP="00446BCA">
      <w:pPr>
        <w:pStyle w:val="Default"/>
        <w:ind w:left="1134" w:right="851" w:hanging="283"/>
        <w:jc w:val="both"/>
        <w:rPr>
          <w:rFonts w:ascii="Times New Roman" w:hAnsi="Times New Roman" w:cs="Times New Roman"/>
          <w:sz w:val="20"/>
          <w:szCs w:val="20"/>
        </w:rPr>
      </w:pPr>
      <w:r w:rsidRPr="00FD636B">
        <w:rPr>
          <w:rFonts w:ascii="Times New Roman" w:hAnsi="Times New Roman" w:cs="Times New Roman"/>
          <w:sz w:val="20"/>
          <w:szCs w:val="20"/>
        </w:rPr>
        <w:t>1.</w:t>
      </w:r>
      <w:r w:rsidRPr="00FD636B">
        <w:rPr>
          <w:rFonts w:ascii="Times New Roman" w:hAnsi="Times New Roman" w:cs="Times New Roman"/>
          <w:sz w:val="20"/>
          <w:szCs w:val="20"/>
        </w:rPr>
        <w:tab/>
        <w:t xml:space="preserve">Aprobar todas las recomendaciones emitidas en el oficio dicho, basados en los fundamentos, motivos y contenidos, desarrollados en los considerandos del informe </w:t>
      </w:r>
      <w:proofErr w:type="spellStart"/>
      <w:r w:rsidR="00446BCA" w:rsidRPr="00FD636B">
        <w:rPr>
          <w:rFonts w:ascii="Times New Roman" w:hAnsi="Times New Roman" w:cs="Times New Roman"/>
          <w:b/>
          <w:bCs/>
          <w:sz w:val="20"/>
          <w:szCs w:val="20"/>
        </w:rPr>
        <w:t>DAJ</w:t>
      </w:r>
      <w:proofErr w:type="spellEnd"/>
      <w:r w:rsidR="00446BCA" w:rsidRPr="00FD636B">
        <w:rPr>
          <w:rFonts w:ascii="Times New Roman" w:hAnsi="Times New Roman" w:cs="Times New Roman"/>
          <w:b/>
          <w:bCs/>
          <w:sz w:val="20"/>
          <w:szCs w:val="20"/>
        </w:rPr>
        <w:t xml:space="preserve"> 2015-002044</w:t>
      </w:r>
      <w:r w:rsidRPr="00FD636B">
        <w:rPr>
          <w:rFonts w:ascii="Times New Roman" w:hAnsi="Times New Roman" w:cs="Times New Roman"/>
          <w:b/>
          <w:bCs/>
          <w:sz w:val="20"/>
          <w:szCs w:val="20"/>
        </w:rPr>
        <w:t xml:space="preserve"> </w:t>
      </w:r>
      <w:r w:rsidRPr="00FD636B">
        <w:rPr>
          <w:rFonts w:ascii="Times New Roman" w:hAnsi="Times New Roman" w:cs="Times New Roman"/>
          <w:sz w:val="20"/>
          <w:szCs w:val="20"/>
        </w:rPr>
        <w:t xml:space="preserve">el cual es </w:t>
      </w:r>
      <w:r w:rsidR="00446BCA" w:rsidRPr="00FD636B">
        <w:rPr>
          <w:rFonts w:ascii="Times New Roman" w:hAnsi="Times New Roman" w:cs="Times New Roman"/>
          <w:sz w:val="20"/>
          <w:szCs w:val="20"/>
        </w:rPr>
        <w:t>parte integral de este acuerdo.</w:t>
      </w:r>
    </w:p>
    <w:p w:rsidR="00446BCA" w:rsidRPr="00FD636B" w:rsidRDefault="00446BCA" w:rsidP="00446BCA">
      <w:pPr>
        <w:pStyle w:val="Default"/>
        <w:ind w:left="1134" w:right="851" w:hanging="283"/>
        <w:jc w:val="both"/>
        <w:rPr>
          <w:rFonts w:ascii="Times New Roman" w:hAnsi="Times New Roman" w:cs="Times New Roman"/>
          <w:sz w:val="20"/>
          <w:szCs w:val="20"/>
        </w:rPr>
      </w:pPr>
      <w:r w:rsidRPr="00FD636B">
        <w:rPr>
          <w:rFonts w:ascii="Times New Roman" w:hAnsi="Times New Roman" w:cs="Times New Roman"/>
          <w:sz w:val="20"/>
          <w:szCs w:val="20"/>
        </w:rPr>
        <w:t xml:space="preserve">2. Cancelar el permiso de la </w:t>
      </w:r>
      <w:r w:rsidR="00306070">
        <w:rPr>
          <w:rFonts w:ascii="Times New Roman" w:hAnsi="Times New Roman" w:cs="Times New Roman"/>
          <w:sz w:val="20"/>
          <w:szCs w:val="20"/>
        </w:rPr>
        <w:t>Ruta 00</w:t>
      </w:r>
      <w:r w:rsidRPr="00FD636B">
        <w:rPr>
          <w:rFonts w:ascii="Times New Roman" w:hAnsi="Times New Roman" w:cs="Times New Roman"/>
          <w:sz w:val="20"/>
          <w:szCs w:val="20"/>
        </w:rPr>
        <w:t xml:space="preserve"> a la empresa </w:t>
      </w:r>
      <w:proofErr w:type="spellStart"/>
      <w:r w:rsidR="00A35DD6">
        <w:rPr>
          <w:rFonts w:ascii="Times New Roman" w:hAnsi="Times New Roman" w:cs="Times New Roman"/>
          <w:b/>
          <w:bCs/>
          <w:sz w:val="20"/>
          <w:szCs w:val="20"/>
        </w:rPr>
        <w:t>TAH</w:t>
      </w:r>
      <w:proofErr w:type="spellEnd"/>
      <w:r w:rsidRPr="00FD636B">
        <w:rPr>
          <w:rFonts w:ascii="Times New Roman" w:hAnsi="Times New Roman" w:cs="Times New Roman"/>
          <w:sz w:val="20"/>
          <w:szCs w:val="20"/>
        </w:rPr>
        <w:t xml:space="preserve">, como permisionaria de la </w:t>
      </w:r>
      <w:r w:rsidR="00306070">
        <w:rPr>
          <w:rFonts w:ascii="Times New Roman" w:hAnsi="Times New Roman" w:cs="Times New Roman"/>
          <w:sz w:val="20"/>
          <w:szCs w:val="20"/>
        </w:rPr>
        <w:t>Ruta 00</w:t>
      </w:r>
      <w:r w:rsidRPr="00FD636B">
        <w:rPr>
          <w:rFonts w:ascii="Times New Roman" w:hAnsi="Times New Roman" w:cs="Times New Roman"/>
          <w:sz w:val="20"/>
          <w:szCs w:val="20"/>
        </w:rPr>
        <w:t xml:space="preserve"> descrita como </w:t>
      </w:r>
      <w:proofErr w:type="spellStart"/>
      <w:r w:rsidRPr="00FD636B">
        <w:rPr>
          <w:rFonts w:ascii="Times New Roman" w:hAnsi="Times New Roman" w:cs="Times New Roman"/>
          <w:sz w:val="20"/>
          <w:szCs w:val="20"/>
        </w:rPr>
        <w:t>Orotina</w:t>
      </w:r>
      <w:proofErr w:type="spellEnd"/>
      <w:r w:rsidRPr="00FD636B">
        <w:rPr>
          <w:rFonts w:ascii="Times New Roman" w:hAnsi="Times New Roman" w:cs="Times New Roman"/>
          <w:sz w:val="20"/>
          <w:szCs w:val="20"/>
        </w:rPr>
        <w:t xml:space="preserve"> San Mateo Labrador y viceversa, con extensión a Esparza – Puntarenas y viceversa, por incumplir con su obligación de estar al día con sus obligaciones obreros patronales con la </w:t>
      </w:r>
      <w:proofErr w:type="spellStart"/>
      <w:r w:rsidRPr="00FD636B">
        <w:rPr>
          <w:rFonts w:ascii="Times New Roman" w:hAnsi="Times New Roman" w:cs="Times New Roman"/>
          <w:sz w:val="20"/>
          <w:szCs w:val="20"/>
        </w:rPr>
        <w:t>CCSS</w:t>
      </w:r>
      <w:proofErr w:type="spellEnd"/>
      <w:r w:rsidRPr="00FD636B">
        <w:rPr>
          <w:rFonts w:ascii="Times New Roman" w:hAnsi="Times New Roman" w:cs="Times New Roman"/>
          <w:sz w:val="20"/>
          <w:szCs w:val="20"/>
        </w:rPr>
        <w:t>.</w:t>
      </w:r>
    </w:p>
    <w:p w:rsidR="000F2D1F" w:rsidRPr="00FD636B" w:rsidRDefault="00446BCA" w:rsidP="00446BCA">
      <w:pPr>
        <w:pStyle w:val="Default"/>
        <w:ind w:left="1134" w:right="851" w:hanging="283"/>
        <w:jc w:val="both"/>
        <w:rPr>
          <w:rFonts w:ascii="Times New Roman" w:hAnsi="Times New Roman" w:cs="Times New Roman"/>
          <w:sz w:val="20"/>
          <w:szCs w:val="20"/>
        </w:rPr>
      </w:pPr>
      <w:r w:rsidRPr="00FD636B">
        <w:rPr>
          <w:rFonts w:ascii="Times New Roman" w:hAnsi="Times New Roman" w:cs="Times New Roman"/>
          <w:sz w:val="20"/>
          <w:szCs w:val="20"/>
        </w:rPr>
        <w:t xml:space="preserve">3.  Instruir al Área Técnica de este Consejo para que en aplicación del artículo 10 de la Ley 3503, proceda a brindar a la mayor brevedad posible la audiencia correspondiente a los prestatarios del servicio de transporte remunerado de pasajeros en la modalidad autobús que tengan influencia en el área del recorrido de la </w:t>
      </w:r>
      <w:r w:rsidR="00306070">
        <w:rPr>
          <w:rFonts w:ascii="Times New Roman" w:hAnsi="Times New Roman" w:cs="Times New Roman"/>
          <w:sz w:val="20"/>
          <w:szCs w:val="20"/>
        </w:rPr>
        <w:t>Ruta 00</w:t>
      </w:r>
      <w:r w:rsidRPr="00FD636B">
        <w:rPr>
          <w:rFonts w:ascii="Times New Roman" w:hAnsi="Times New Roman" w:cs="Times New Roman"/>
          <w:sz w:val="20"/>
          <w:szCs w:val="20"/>
        </w:rPr>
        <w:t xml:space="preserve">, a fin de constatar su anuencia a asumir provisionalmente dicha ruta en el tanto se acuerda un permisionario o concesionario sustituto bajo los esquemas operativos actualmente autorizados por el Consejo. Durante la determinación del operador de la ruta mencionada, se ordena a la empresa Transportes Araya Arguedas Hermanos Limitada que siga atendiendo el recorrido en aras de la continuidad del servicio, lo anterior de manera provisionalísima. </w:t>
      </w:r>
      <w:r w:rsidR="006067F3" w:rsidRPr="00FD636B">
        <w:rPr>
          <w:rFonts w:ascii="Times New Roman" w:eastAsia="Calibri,Bold" w:hAnsi="Times New Roman" w:cs="Times New Roman"/>
          <w:sz w:val="20"/>
          <w:szCs w:val="20"/>
        </w:rPr>
        <w:t>(…)”</w:t>
      </w:r>
      <w:r w:rsidR="004625DD" w:rsidRPr="00FD636B">
        <w:rPr>
          <w:rFonts w:ascii="Times New Roman" w:eastAsia="Calibri,Bold" w:hAnsi="Times New Roman" w:cs="Times New Roman"/>
          <w:sz w:val="20"/>
          <w:szCs w:val="20"/>
        </w:rPr>
        <w:t xml:space="preserve"> (Léase el folio </w:t>
      </w:r>
      <w:r w:rsidR="00216160" w:rsidRPr="00FD636B">
        <w:rPr>
          <w:rFonts w:ascii="Times New Roman" w:eastAsia="Calibri,Bold" w:hAnsi="Times New Roman" w:cs="Times New Roman"/>
          <w:sz w:val="20"/>
          <w:szCs w:val="20"/>
        </w:rPr>
        <w:t>66</w:t>
      </w:r>
      <w:r w:rsidR="004625DD" w:rsidRPr="00FD636B">
        <w:rPr>
          <w:rFonts w:ascii="Times New Roman" w:eastAsia="Calibri,Bold" w:hAnsi="Times New Roman" w:cs="Times New Roman"/>
          <w:sz w:val="20"/>
          <w:szCs w:val="20"/>
        </w:rPr>
        <w:t xml:space="preserve"> del expediente </w:t>
      </w:r>
      <w:proofErr w:type="spellStart"/>
      <w:r w:rsidR="004625DD" w:rsidRPr="00FD636B">
        <w:rPr>
          <w:rFonts w:ascii="Times New Roman" w:eastAsia="Calibri,Bold" w:hAnsi="Times New Roman" w:cs="Times New Roman"/>
          <w:sz w:val="20"/>
          <w:szCs w:val="20"/>
        </w:rPr>
        <w:t>TAT</w:t>
      </w:r>
      <w:proofErr w:type="spellEnd"/>
      <w:r w:rsidR="004625DD" w:rsidRPr="00FD636B">
        <w:rPr>
          <w:rFonts w:ascii="Times New Roman" w:eastAsia="Calibri,Bold" w:hAnsi="Times New Roman" w:cs="Times New Roman"/>
          <w:sz w:val="20"/>
          <w:szCs w:val="20"/>
        </w:rPr>
        <w:t>-</w:t>
      </w:r>
      <w:r w:rsidRPr="00FD636B">
        <w:rPr>
          <w:rFonts w:ascii="Times New Roman" w:eastAsia="Calibri,Bold" w:hAnsi="Times New Roman" w:cs="Times New Roman"/>
          <w:sz w:val="20"/>
          <w:szCs w:val="20"/>
        </w:rPr>
        <w:t>21-16</w:t>
      </w:r>
      <w:r w:rsidR="004625DD" w:rsidRPr="00FD636B">
        <w:rPr>
          <w:rFonts w:ascii="Times New Roman" w:eastAsia="Calibri,Bold" w:hAnsi="Times New Roman" w:cs="Times New Roman"/>
          <w:sz w:val="20"/>
          <w:szCs w:val="20"/>
        </w:rPr>
        <w:t xml:space="preserve">) </w:t>
      </w:r>
    </w:p>
    <w:p w:rsidR="000F075A" w:rsidRPr="00FD636B" w:rsidRDefault="000F075A" w:rsidP="002F2BC8">
      <w:pPr>
        <w:autoSpaceDE w:val="0"/>
        <w:autoSpaceDN w:val="0"/>
        <w:adjustRightInd w:val="0"/>
        <w:ind w:left="567" w:right="616"/>
        <w:jc w:val="both"/>
        <w:rPr>
          <w:rFonts w:eastAsia="Calibri,Bold"/>
          <w:b/>
          <w:bCs/>
          <w:color w:val="000000"/>
          <w:sz w:val="20"/>
          <w:szCs w:val="20"/>
          <w:lang w:eastAsia="es-CR"/>
        </w:rPr>
      </w:pPr>
    </w:p>
    <w:p w:rsidR="00424840" w:rsidRPr="00FD636B" w:rsidRDefault="000F075A" w:rsidP="000F075A">
      <w:pPr>
        <w:autoSpaceDE w:val="0"/>
        <w:autoSpaceDN w:val="0"/>
        <w:adjustRightInd w:val="0"/>
        <w:spacing w:line="276" w:lineRule="auto"/>
        <w:jc w:val="both"/>
        <w:rPr>
          <w:rFonts w:eastAsia="Calibri,Bold"/>
          <w:bCs/>
          <w:color w:val="000000"/>
          <w:lang w:eastAsia="es-CR"/>
        </w:rPr>
      </w:pPr>
      <w:r w:rsidRPr="00FD636B">
        <w:rPr>
          <w:rFonts w:eastAsia="Calibri,Bold"/>
          <w:bCs/>
          <w:color w:val="000000"/>
          <w:lang w:eastAsia="es-CR"/>
        </w:rPr>
        <w:t xml:space="preserve">El acuerdo fue notificado el </w:t>
      </w:r>
      <w:r w:rsidR="00216160" w:rsidRPr="00FD636B">
        <w:rPr>
          <w:rFonts w:eastAsia="Calibri,Bold"/>
          <w:b/>
          <w:bCs/>
          <w:color w:val="000000"/>
          <w:lang w:eastAsia="es-CR"/>
        </w:rPr>
        <w:t>15</w:t>
      </w:r>
      <w:r w:rsidRPr="00FD636B">
        <w:rPr>
          <w:rFonts w:eastAsia="Calibri,Bold"/>
          <w:b/>
          <w:bCs/>
          <w:color w:val="000000"/>
          <w:lang w:eastAsia="es-CR"/>
        </w:rPr>
        <w:t xml:space="preserve"> de </w:t>
      </w:r>
      <w:r w:rsidR="00216160" w:rsidRPr="00FD636B">
        <w:rPr>
          <w:rFonts w:eastAsia="Calibri,Bold"/>
          <w:b/>
          <w:bCs/>
          <w:color w:val="000000"/>
          <w:lang w:eastAsia="es-CR"/>
        </w:rPr>
        <w:t>julio</w:t>
      </w:r>
      <w:r w:rsidRPr="00FD636B">
        <w:rPr>
          <w:rFonts w:eastAsia="Calibri,Bold"/>
          <w:b/>
          <w:bCs/>
          <w:color w:val="000000"/>
          <w:lang w:eastAsia="es-CR"/>
        </w:rPr>
        <w:t xml:space="preserve"> del 2015</w:t>
      </w:r>
      <w:r w:rsidR="00216160" w:rsidRPr="00FD636B">
        <w:rPr>
          <w:rFonts w:eastAsia="Calibri,Bold"/>
          <w:bCs/>
          <w:color w:val="000000"/>
          <w:lang w:eastAsia="es-CR"/>
        </w:rPr>
        <w:t xml:space="preserve">. (Léase el folio 66 vuelto </w:t>
      </w:r>
      <w:r w:rsidRPr="00FD636B">
        <w:rPr>
          <w:rFonts w:eastAsia="Calibri,Bold"/>
          <w:bCs/>
          <w:color w:val="000000"/>
          <w:lang w:eastAsia="es-CR"/>
        </w:rPr>
        <w:t>de</w:t>
      </w:r>
      <w:r w:rsidR="00216160" w:rsidRPr="00FD636B">
        <w:rPr>
          <w:rFonts w:eastAsia="Calibri,Bold"/>
          <w:bCs/>
          <w:color w:val="000000"/>
          <w:lang w:eastAsia="es-CR"/>
        </w:rPr>
        <w:t>l</w:t>
      </w:r>
      <w:r w:rsidRPr="00FD636B">
        <w:rPr>
          <w:rFonts w:eastAsia="Calibri,Bold"/>
          <w:bCs/>
          <w:color w:val="000000"/>
          <w:lang w:eastAsia="es-CR"/>
        </w:rPr>
        <w:t xml:space="preserve"> expediente </w:t>
      </w:r>
      <w:proofErr w:type="spellStart"/>
      <w:r w:rsidRPr="00FD636B">
        <w:rPr>
          <w:rFonts w:eastAsia="Calibri,Bold"/>
          <w:bCs/>
          <w:color w:val="000000"/>
          <w:lang w:eastAsia="es-CR"/>
        </w:rPr>
        <w:t>TAT</w:t>
      </w:r>
      <w:proofErr w:type="spellEnd"/>
      <w:r w:rsidRPr="00FD636B">
        <w:rPr>
          <w:rFonts w:eastAsia="Calibri,Bold"/>
          <w:bCs/>
          <w:color w:val="000000"/>
          <w:lang w:eastAsia="es-CR"/>
        </w:rPr>
        <w:t>-</w:t>
      </w:r>
      <w:r w:rsidR="00446BCA" w:rsidRPr="00FD636B">
        <w:rPr>
          <w:rFonts w:eastAsia="Calibri,Bold"/>
          <w:bCs/>
          <w:color w:val="000000"/>
          <w:lang w:eastAsia="es-CR"/>
        </w:rPr>
        <w:t>21-16</w:t>
      </w:r>
      <w:r w:rsidRPr="00FD636B">
        <w:rPr>
          <w:rFonts w:eastAsia="Calibri,Bold"/>
          <w:bCs/>
          <w:color w:val="000000"/>
          <w:lang w:eastAsia="es-CR"/>
        </w:rPr>
        <w:t>)</w:t>
      </w:r>
    </w:p>
    <w:p w:rsidR="003A63DB" w:rsidRPr="00FD636B" w:rsidRDefault="003A63DB" w:rsidP="000F075A">
      <w:pPr>
        <w:autoSpaceDE w:val="0"/>
        <w:autoSpaceDN w:val="0"/>
        <w:adjustRightInd w:val="0"/>
        <w:spacing w:line="276" w:lineRule="auto"/>
        <w:jc w:val="both"/>
        <w:rPr>
          <w:rFonts w:eastAsia="Calibri,Bold"/>
          <w:bCs/>
          <w:color w:val="000000"/>
          <w:lang w:eastAsia="es-CR"/>
        </w:rPr>
      </w:pPr>
    </w:p>
    <w:p w:rsidR="000F075A" w:rsidRPr="00FD636B" w:rsidRDefault="000F075A" w:rsidP="000F075A">
      <w:pPr>
        <w:tabs>
          <w:tab w:val="left" w:pos="1560"/>
        </w:tabs>
        <w:spacing w:line="276" w:lineRule="auto"/>
        <w:jc w:val="both"/>
        <w:rPr>
          <w:color w:val="000000"/>
        </w:rPr>
      </w:pPr>
      <w:r w:rsidRPr="00FD636B">
        <w:rPr>
          <w:b/>
          <w:color w:val="000000"/>
          <w:sz w:val="26"/>
          <w:szCs w:val="26"/>
        </w:rPr>
        <w:t>SEGUNDO. -</w:t>
      </w:r>
      <w:r w:rsidRPr="00FD636B">
        <w:rPr>
          <w:b/>
          <w:color w:val="000000"/>
          <w:sz w:val="26"/>
          <w:szCs w:val="26"/>
        </w:rPr>
        <w:tab/>
      </w:r>
      <w:r w:rsidR="006067F3" w:rsidRPr="00FD636B">
        <w:rPr>
          <w:color w:val="000000"/>
        </w:rPr>
        <w:t>El</w:t>
      </w:r>
      <w:r w:rsidR="00143B3D" w:rsidRPr="00FD636B">
        <w:rPr>
          <w:color w:val="000000"/>
        </w:rPr>
        <w:t xml:space="preserve"> </w:t>
      </w:r>
      <w:r w:rsidR="00446BCA" w:rsidRPr="00FD636B">
        <w:rPr>
          <w:color w:val="000000"/>
        </w:rPr>
        <w:t>20 de julio del 2015</w:t>
      </w:r>
      <w:r w:rsidR="006067F3" w:rsidRPr="00FD636B">
        <w:rPr>
          <w:color w:val="000000"/>
        </w:rPr>
        <w:t>, la f</w:t>
      </w:r>
      <w:r w:rsidR="00143B3D" w:rsidRPr="00FD636B">
        <w:rPr>
          <w:color w:val="000000"/>
        </w:rPr>
        <w:t xml:space="preserve">irma </w:t>
      </w:r>
      <w:proofErr w:type="spellStart"/>
      <w:r w:rsidR="00A35DD6">
        <w:rPr>
          <w:b/>
          <w:smallCaps/>
          <w:color w:val="000000"/>
        </w:rPr>
        <w:t>TAH</w:t>
      </w:r>
      <w:proofErr w:type="spellEnd"/>
      <w:r w:rsidR="00446BCA" w:rsidRPr="00FD636B">
        <w:rPr>
          <w:b/>
          <w:smallCaps/>
          <w:color w:val="000000"/>
        </w:rPr>
        <w:t>.,</w:t>
      </w:r>
      <w:r w:rsidR="00446BCA" w:rsidRPr="00FD636B">
        <w:rPr>
          <w:color w:val="000000"/>
        </w:rPr>
        <w:t xml:space="preserve"> </w:t>
      </w:r>
      <w:r w:rsidRPr="00FD636B">
        <w:rPr>
          <w:color w:val="000000"/>
        </w:rPr>
        <w:t xml:space="preserve">interpone sus </w:t>
      </w:r>
      <w:r w:rsidR="006067F3" w:rsidRPr="00FD636B">
        <w:rPr>
          <w:color w:val="000000"/>
        </w:rPr>
        <w:t xml:space="preserve">formales recursos de revocatoria con apelación en subsidio </w:t>
      </w:r>
      <w:r w:rsidR="00446BCA" w:rsidRPr="00FD636B">
        <w:rPr>
          <w:color w:val="000000"/>
        </w:rPr>
        <w:t xml:space="preserve">en </w:t>
      </w:r>
      <w:r w:rsidR="006067F3" w:rsidRPr="00FD636B">
        <w:rPr>
          <w:color w:val="000000"/>
        </w:rPr>
        <w:t xml:space="preserve">contra </w:t>
      </w:r>
      <w:r w:rsidR="00446BCA" w:rsidRPr="00FD636B">
        <w:rPr>
          <w:color w:val="000000"/>
        </w:rPr>
        <w:t xml:space="preserve">de </w:t>
      </w:r>
      <w:r w:rsidR="006067F3" w:rsidRPr="00FD636B">
        <w:rPr>
          <w:color w:val="000000"/>
        </w:rPr>
        <w:t xml:space="preserve">lo determinado </w:t>
      </w:r>
      <w:r w:rsidRPr="00FD636B">
        <w:rPr>
          <w:color w:val="000000"/>
        </w:rPr>
        <w:t xml:space="preserve">en </w:t>
      </w:r>
      <w:r w:rsidR="006067F3" w:rsidRPr="00FD636B">
        <w:rPr>
          <w:color w:val="000000"/>
        </w:rPr>
        <w:t xml:space="preserve">el </w:t>
      </w:r>
      <w:r w:rsidRPr="00FD636B">
        <w:rPr>
          <w:b/>
          <w:color w:val="000000"/>
        </w:rPr>
        <w:t>Artículo 7.</w:t>
      </w:r>
      <w:r w:rsidR="00446BCA" w:rsidRPr="00FD636B">
        <w:rPr>
          <w:b/>
          <w:color w:val="000000"/>
        </w:rPr>
        <w:t>6 de la Sesión Ordinaria 36</w:t>
      </w:r>
      <w:r w:rsidRPr="00FD636B">
        <w:rPr>
          <w:b/>
          <w:color w:val="000000"/>
        </w:rPr>
        <w:t>-2015 del 2</w:t>
      </w:r>
      <w:r w:rsidR="00446BCA" w:rsidRPr="00FD636B">
        <w:rPr>
          <w:b/>
          <w:color w:val="000000"/>
        </w:rPr>
        <w:t>4</w:t>
      </w:r>
      <w:r w:rsidRPr="00FD636B">
        <w:rPr>
          <w:b/>
          <w:color w:val="000000"/>
        </w:rPr>
        <w:t xml:space="preserve"> de </w:t>
      </w:r>
      <w:r w:rsidR="00446BCA" w:rsidRPr="00FD636B">
        <w:rPr>
          <w:b/>
          <w:color w:val="000000"/>
        </w:rPr>
        <w:t>junio</w:t>
      </w:r>
      <w:r w:rsidRPr="00FD636B">
        <w:rPr>
          <w:b/>
          <w:color w:val="000000"/>
        </w:rPr>
        <w:t xml:space="preserve"> del 2015</w:t>
      </w:r>
      <w:r w:rsidR="00143B3D" w:rsidRPr="00FD636B">
        <w:rPr>
          <w:color w:val="000000"/>
        </w:rPr>
        <w:t>, dictado por la Junta Directiva del Consejo de Transporte Público</w:t>
      </w:r>
      <w:r w:rsidRPr="00FD636B">
        <w:rPr>
          <w:color w:val="000000"/>
        </w:rPr>
        <w:t>, expresando en resumen lo siguiente:</w:t>
      </w:r>
    </w:p>
    <w:p w:rsidR="00143B3D" w:rsidRPr="00FD636B" w:rsidRDefault="00143B3D" w:rsidP="000F075A">
      <w:pPr>
        <w:tabs>
          <w:tab w:val="left" w:pos="1560"/>
        </w:tabs>
        <w:spacing w:line="276" w:lineRule="auto"/>
        <w:jc w:val="both"/>
        <w:rPr>
          <w:color w:val="000000"/>
        </w:rPr>
      </w:pPr>
    </w:p>
    <w:p w:rsidR="000F075A" w:rsidRPr="00FD636B" w:rsidRDefault="00AE6E00" w:rsidP="00AE6E00">
      <w:pPr>
        <w:tabs>
          <w:tab w:val="left" w:pos="284"/>
        </w:tabs>
        <w:spacing w:line="276" w:lineRule="auto"/>
        <w:jc w:val="both"/>
        <w:rPr>
          <w:color w:val="000000"/>
        </w:rPr>
      </w:pPr>
      <w:r w:rsidRPr="00FD636B">
        <w:rPr>
          <w:color w:val="000000"/>
        </w:rPr>
        <w:lastRenderedPageBreak/>
        <w:t>a)</w:t>
      </w:r>
      <w:r w:rsidRPr="00FD636B">
        <w:rPr>
          <w:color w:val="000000"/>
        </w:rPr>
        <w:tab/>
      </w:r>
      <w:r w:rsidR="00D42EE0" w:rsidRPr="00FD636B">
        <w:rPr>
          <w:color w:val="000000"/>
        </w:rPr>
        <w:t xml:space="preserve">Que tiene de treinta y cinco años consecutivos de brindar el </w:t>
      </w:r>
      <w:r w:rsidR="00B07C69" w:rsidRPr="00FD636B">
        <w:rPr>
          <w:color w:val="000000"/>
        </w:rPr>
        <w:t>servicio</w:t>
      </w:r>
      <w:r w:rsidR="00D42EE0" w:rsidRPr="00FD636B">
        <w:rPr>
          <w:color w:val="000000"/>
        </w:rPr>
        <w:t xml:space="preserve"> en las rutas 263 y 263 A.</w:t>
      </w:r>
    </w:p>
    <w:p w:rsidR="00B07C69" w:rsidRPr="00FD636B" w:rsidRDefault="00AE6E00" w:rsidP="00AE6E00">
      <w:pPr>
        <w:tabs>
          <w:tab w:val="left" w:pos="284"/>
        </w:tabs>
        <w:spacing w:line="276" w:lineRule="auto"/>
        <w:jc w:val="both"/>
        <w:rPr>
          <w:color w:val="000000"/>
        </w:rPr>
      </w:pPr>
      <w:r w:rsidRPr="00FD636B">
        <w:rPr>
          <w:color w:val="000000"/>
        </w:rPr>
        <w:t>b)</w:t>
      </w:r>
      <w:r w:rsidR="00B07C69" w:rsidRPr="00FD636B">
        <w:rPr>
          <w:color w:val="000000"/>
        </w:rPr>
        <w:t xml:space="preserve"> Que participó en el proceso abreviado de permisionario a concesionario, y se les otorgó la concesión en el Artículo 8.1 de la Sesión Ordinaria 20-2015 del 27 de mayo del 2015.</w:t>
      </w:r>
    </w:p>
    <w:p w:rsidR="00B07C69" w:rsidRPr="00FD636B" w:rsidRDefault="00AE6E00" w:rsidP="00AE6E00">
      <w:pPr>
        <w:tabs>
          <w:tab w:val="left" w:pos="284"/>
        </w:tabs>
        <w:spacing w:line="276" w:lineRule="auto"/>
        <w:jc w:val="both"/>
        <w:rPr>
          <w:color w:val="000000"/>
        </w:rPr>
      </w:pPr>
      <w:r w:rsidRPr="00FD636B">
        <w:rPr>
          <w:color w:val="000000"/>
        </w:rPr>
        <w:t>c)</w:t>
      </w:r>
      <w:r w:rsidR="00B07C69" w:rsidRPr="00FD636B">
        <w:rPr>
          <w:color w:val="000000"/>
        </w:rPr>
        <w:t xml:space="preserve"> indica que no se presentaron a la audiencia, porque el mensaje nunca ingresó a su bandeja de correos en la cuenta de Hotmail, pero no se puede interpretar que se haya irrespetado al Co</w:t>
      </w:r>
      <w:r w:rsidR="0013214F" w:rsidRPr="00FD636B">
        <w:rPr>
          <w:color w:val="000000"/>
        </w:rPr>
        <w:t>nsejo,</w:t>
      </w:r>
      <w:r w:rsidR="00B07C69" w:rsidRPr="00FD636B">
        <w:rPr>
          <w:color w:val="000000"/>
        </w:rPr>
        <w:t xml:space="preserve"> que haya falta de interés por las notificaciones.</w:t>
      </w:r>
    </w:p>
    <w:p w:rsidR="005227E1" w:rsidRPr="00FD636B" w:rsidRDefault="00B07C69" w:rsidP="00AE6E00">
      <w:pPr>
        <w:tabs>
          <w:tab w:val="left" w:pos="284"/>
        </w:tabs>
        <w:spacing w:line="276" w:lineRule="auto"/>
        <w:jc w:val="both"/>
        <w:rPr>
          <w:color w:val="000000"/>
        </w:rPr>
      </w:pPr>
      <w:r w:rsidRPr="00FD636B">
        <w:rPr>
          <w:color w:val="000000"/>
        </w:rPr>
        <w:t>d) Que al recibir el apercibimiento del 11 de mayo del 2015, en el cual se les indicaba que tenían hasta el 13 de mayo del 2015, para estar al d</w:t>
      </w:r>
      <w:r w:rsidR="00185B74" w:rsidRPr="00FD636B">
        <w:rPr>
          <w:color w:val="000000"/>
        </w:rPr>
        <w:t>ía con sus obligaciones; aportaron</w:t>
      </w:r>
      <w:r w:rsidR="009D09D6" w:rsidRPr="00FD636B">
        <w:rPr>
          <w:color w:val="000000"/>
        </w:rPr>
        <w:t xml:space="preserve"> en Ventanilla Única </w:t>
      </w:r>
      <w:r w:rsidR="00185B74" w:rsidRPr="00FD636B">
        <w:rPr>
          <w:color w:val="000000"/>
        </w:rPr>
        <w:t xml:space="preserve">la constancia de N° 130400056485-749252 el 13 de mayo del 2015, emitida por la </w:t>
      </w:r>
      <w:proofErr w:type="spellStart"/>
      <w:r w:rsidR="00185B74" w:rsidRPr="00FD636B">
        <w:rPr>
          <w:color w:val="000000"/>
        </w:rPr>
        <w:t>CCSS</w:t>
      </w:r>
      <w:proofErr w:type="spellEnd"/>
      <w:r w:rsidR="00185B74" w:rsidRPr="00FD636B">
        <w:rPr>
          <w:color w:val="000000"/>
        </w:rPr>
        <w:t xml:space="preserve">, </w:t>
      </w:r>
      <w:r w:rsidR="00162B7D" w:rsidRPr="00FD636B">
        <w:rPr>
          <w:color w:val="000000"/>
        </w:rPr>
        <w:t>en la cual consta que se encuentra al día con el pago de sus obligaciones.</w:t>
      </w:r>
      <w:r w:rsidR="00185B74" w:rsidRPr="00FD636B">
        <w:rPr>
          <w:color w:val="000000"/>
        </w:rPr>
        <w:t xml:space="preserve">  </w:t>
      </w:r>
      <w:r w:rsidRPr="00FD636B">
        <w:rPr>
          <w:color w:val="000000"/>
        </w:rPr>
        <w:t xml:space="preserve"> </w:t>
      </w:r>
    </w:p>
    <w:p w:rsidR="00410EB7" w:rsidRPr="00FD636B" w:rsidRDefault="005227E1" w:rsidP="00AE6E00">
      <w:pPr>
        <w:tabs>
          <w:tab w:val="left" w:pos="284"/>
        </w:tabs>
        <w:spacing w:line="276" w:lineRule="auto"/>
        <w:jc w:val="both"/>
        <w:rPr>
          <w:color w:val="000000"/>
        </w:rPr>
      </w:pPr>
      <w:r w:rsidRPr="00FD636B">
        <w:rPr>
          <w:color w:val="000000"/>
        </w:rPr>
        <w:t>d)</w:t>
      </w:r>
      <w:r w:rsidR="00410EB7" w:rsidRPr="00FD636B">
        <w:rPr>
          <w:color w:val="000000"/>
        </w:rPr>
        <w:t xml:space="preserve"> Expresa que en virtud de que el acuerdo impugnado hace referencia al incumpliendo con la </w:t>
      </w:r>
      <w:proofErr w:type="spellStart"/>
      <w:r w:rsidR="00410EB7" w:rsidRPr="00FD636B">
        <w:rPr>
          <w:color w:val="000000"/>
        </w:rPr>
        <w:t>CCSS</w:t>
      </w:r>
      <w:proofErr w:type="spellEnd"/>
      <w:r w:rsidR="00410EB7" w:rsidRPr="00FD636B">
        <w:rPr>
          <w:color w:val="000000"/>
        </w:rPr>
        <w:t>, y la empresa ya se encuentra al día hasta el 18 de agosto del 2015, se estaría transgrediendo el artículo 133 inciso 1 de la Ley General de la Administración Pública, en cuanto a la motivación.</w:t>
      </w:r>
    </w:p>
    <w:p w:rsidR="006112DB" w:rsidRPr="00FD636B" w:rsidRDefault="00E72F78" w:rsidP="006112DB">
      <w:pPr>
        <w:tabs>
          <w:tab w:val="left" w:pos="284"/>
        </w:tabs>
        <w:spacing w:line="276" w:lineRule="auto"/>
        <w:jc w:val="both"/>
        <w:rPr>
          <w:color w:val="000000"/>
        </w:rPr>
      </w:pPr>
      <w:r w:rsidRPr="00FD636B">
        <w:rPr>
          <w:color w:val="000000"/>
        </w:rPr>
        <w:t>e</w:t>
      </w:r>
      <w:r w:rsidR="00DD2D19" w:rsidRPr="00FD636B">
        <w:rPr>
          <w:color w:val="000000"/>
        </w:rPr>
        <w:t>)</w:t>
      </w:r>
      <w:r w:rsidR="00410EB7" w:rsidRPr="00FD636B">
        <w:rPr>
          <w:color w:val="000000"/>
        </w:rPr>
        <w:t xml:space="preserve"> Solicita, haciendo voto de clemencia, que se declare con lugar el recurso; </w:t>
      </w:r>
      <w:r w:rsidR="0013214F" w:rsidRPr="00FD636B">
        <w:rPr>
          <w:color w:val="000000"/>
        </w:rPr>
        <w:t xml:space="preserve">y </w:t>
      </w:r>
      <w:r w:rsidR="00410EB7" w:rsidRPr="00FD636B">
        <w:rPr>
          <w:color w:val="000000"/>
        </w:rPr>
        <w:t xml:space="preserve">que se </w:t>
      </w:r>
      <w:r w:rsidR="0013214F" w:rsidRPr="00FD636B">
        <w:rPr>
          <w:color w:val="000000"/>
        </w:rPr>
        <w:t xml:space="preserve">dé </w:t>
      </w:r>
      <w:r w:rsidR="00410EB7" w:rsidRPr="00FD636B">
        <w:rPr>
          <w:color w:val="000000"/>
        </w:rPr>
        <w:t>respuesta clara, explícita y puntual a cada uno de sus argumentos.</w:t>
      </w:r>
    </w:p>
    <w:p w:rsidR="00143B3D" w:rsidRPr="00FD636B" w:rsidRDefault="00143B3D" w:rsidP="005F18B0">
      <w:pPr>
        <w:spacing w:line="276" w:lineRule="auto"/>
        <w:jc w:val="both"/>
        <w:rPr>
          <w:color w:val="2E74B5"/>
          <w:sz w:val="26"/>
          <w:szCs w:val="26"/>
        </w:rPr>
      </w:pPr>
    </w:p>
    <w:p w:rsidR="00293654" w:rsidRPr="00FD636B" w:rsidRDefault="006C526B" w:rsidP="00531421">
      <w:pPr>
        <w:tabs>
          <w:tab w:val="left" w:pos="1843"/>
        </w:tabs>
        <w:spacing w:line="276" w:lineRule="auto"/>
        <w:jc w:val="both"/>
        <w:rPr>
          <w:color w:val="000000"/>
        </w:rPr>
      </w:pPr>
      <w:r w:rsidRPr="00FD636B">
        <w:rPr>
          <w:b/>
          <w:color w:val="000000"/>
          <w:sz w:val="26"/>
          <w:szCs w:val="26"/>
        </w:rPr>
        <w:t>TERCERO. -</w:t>
      </w:r>
      <w:r w:rsidRPr="00FD636B">
        <w:rPr>
          <w:b/>
          <w:color w:val="000000"/>
          <w:sz w:val="26"/>
          <w:szCs w:val="26"/>
        </w:rPr>
        <w:tab/>
      </w:r>
      <w:r w:rsidR="00D92AD5" w:rsidRPr="00FD636B">
        <w:rPr>
          <w:color w:val="000000"/>
        </w:rPr>
        <w:t>La Junta Directiva del Consejo de Tran</w:t>
      </w:r>
      <w:r w:rsidR="00D84F89" w:rsidRPr="00FD636B">
        <w:rPr>
          <w:color w:val="000000"/>
        </w:rPr>
        <w:t xml:space="preserve">sporte Público en el </w:t>
      </w:r>
      <w:r w:rsidR="00D84F89" w:rsidRPr="00FD636B">
        <w:rPr>
          <w:b/>
          <w:color w:val="000000"/>
        </w:rPr>
        <w:t xml:space="preserve">Artículo </w:t>
      </w:r>
      <w:r w:rsidR="006112DB" w:rsidRPr="00FD636B">
        <w:rPr>
          <w:b/>
          <w:color w:val="000000"/>
        </w:rPr>
        <w:t>7.7</w:t>
      </w:r>
      <w:r w:rsidR="00D84F89" w:rsidRPr="00FD636B">
        <w:rPr>
          <w:b/>
          <w:color w:val="000000"/>
        </w:rPr>
        <w:t xml:space="preserve"> </w:t>
      </w:r>
      <w:r w:rsidR="00D92AD5" w:rsidRPr="00FD636B">
        <w:rPr>
          <w:b/>
          <w:color w:val="000000"/>
        </w:rPr>
        <w:t xml:space="preserve">de la Sesión Ordinaria </w:t>
      </w:r>
      <w:r w:rsidR="00D84F89" w:rsidRPr="00FD636B">
        <w:rPr>
          <w:b/>
          <w:color w:val="000000"/>
        </w:rPr>
        <w:t>1</w:t>
      </w:r>
      <w:r w:rsidR="006112DB" w:rsidRPr="00FD636B">
        <w:rPr>
          <w:b/>
          <w:color w:val="000000"/>
        </w:rPr>
        <w:t>2</w:t>
      </w:r>
      <w:r w:rsidR="00D92AD5" w:rsidRPr="00FD636B">
        <w:rPr>
          <w:b/>
          <w:color w:val="000000"/>
        </w:rPr>
        <w:t>-201</w:t>
      </w:r>
      <w:r w:rsidR="00D84F89" w:rsidRPr="00FD636B">
        <w:rPr>
          <w:b/>
          <w:color w:val="000000"/>
        </w:rPr>
        <w:t>6</w:t>
      </w:r>
      <w:r w:rsidR="00D92AD5" w:rsidRPr="00FD636B">
        <w:rPr>
          <w:b/>
          <w:color w:val="000000"/>
        </w:rPr>
        <w:t xml:space="preserve"> del </w:t>
      </w:r>
      <w:r w:rsidR="00D84F89" w:rsidRPr="00FD636B">
        <w:rPr>
          <w:b/>
          <w:color w:val="000000"/>
        </w:rPr>
        <w:t>1</w:t>
      </w:r>
      <w:r w:rsidR="0013214F" w:rsidRPr="00FD636B">
        <w:rPr>
          <w:b/>
          <w:color w:val="000000"/>
        </w:rPr>
        <w:t>0</w:t>
      </w:r>
      <w:r w:rsidR="00D84F89" w:rsidRPr="00FD636B">
        <w:rPr>
          <w:b/>
          <w:color w:val="000000"/>
        </w:rPr>
        <w:t xml:space="preserve"> de marzo </w:t>
      </w:r>
      <w:r w:rsidR="00D92AD5" w:rsidRPr="00FD636B">
        <w:rPr>
          <w:b/>
          <w:color w:val="000000"/>
        </w:rPr>
        <w:t>del 201</w:t>
      </w:r>
      <w:r w:rsidR="00D84F89" w:rsidRPr="00FD636B">
        <w:rPr>
          <w:b/>
          <w:color w:val="000000"/>
        </w:rPr>
        <w:t>6</w:t>
      </w:r>
      <w:r w:rsidR="00D92AD5" w:rsidRPr="00FD636B">
        <w:rPr>
          <w:color w:val="000000"/>
        </w:rPr>
        <w:t xml:space="preserve">, conoce el informe </w:t>
      </w:r>
      <w:proofErr w:type="spellStart"/>
      <w:r w:rsidR="002B54D8" w:rsidRPr="00FD636B">
        <w:rPr>
          <w:color w:val="000000"/>
        </w:rPr>
        <w:t>DAJ</w:t>
      </w:r>
      <w:proofErr w:type="spellEnd"/>
      <w:r w:rsidR="002B54D8" w:rsidRPr="00FD636B">
        <w:rPr>
          <w:color w:val="000000"/>
        </w:rPr>
        <w:t>-201</w:t>
      </w:r>
      <w:r w:rsidR="006112DB" w:rsidRPr="00FD636B">
        <w:rPr>
          <w:color w:val="000000"/>
        </w:rPr>
        <w:t>5</w:t>
      </w:r>
      <w:r w:rsidR="002B54D8" w:rsidRPr="00FD636B">
        <w:rPr>
          <w:color w:val="000000"/>
        </w:rPr>
        <w:t>-00</w:t>
      </w:r>
      <w:r w:rsidR="006112DB" w:rsidRPr="00FD636B">
        <w:rPr>
          <w:color w:val="000000"/>
        </w:rPr>
        <w:t>3882</w:t>
      </w:r>
      <w:r w:rsidR="002B54D8" w:rsidRPr="00FD636B">
        <w:rPr>
          <w:color w:val="000000"/>
        </w:rPr>
        <w:t xml:space="preserve"> del </w:t>
      </w:r>
      <w:r w:rsidR="0086376E" w:rsidRPr="00FD636B">
        <w:rPr>
          <w:color w:val="000000"/>
        </w:rPr>
        <w:t>1</w:t>
      </w:r>
      <w:r w:rsidR="006112DB" w:rsidRPr="00FD636B">
        <w:rPr>
          <w:color w:val="000000"/>
        </w:rPr>
        <w:t>0</w:t>
      </w:r>
      <w:r w:rsidR="0086376E" w:rsidRPr="00FD636B">
        <w:rPr>
          <w:color w:val="000000"/>
        </w:rPr>
        <w:t xml:space="preserve"> de </w:t>
      </w:r>
      <w:r w:rsidR="006112DB" w:rsidRPr="00FD636B">
        <w:rPr>
          <w:color w:val="000000"/>
        </w:rPr>
        <w:t>noviembre</w:t>
      </w:r>
      <w:r w:rsidR="002B54D8" w:rsidRPr="00FD636B">
        <w:rPr>
          <w:color w:val="000000"/>
        </w:rPr>
        <w:t xml:space="preserve"> del 201</w:t>
      </w:r>
      <w:r w:rsidR="0086376E" w:rsidRPr="00FD636B">
        <w:rPr>
          <w:color w:val="000000"/>
        </w:rPr>
        <w:t>5</w:t>
      </w:r>
      <w:r w:rsidR="002B54D8" w:rsidRPr="00FD636B">
        <w:rPr>
          <w:color w:val="000000"/>
        </w:rPr>
        <w:t xml:space="preserve">, emitido por la Dirección de Asuntos Jurídicos, </w:t>
      </w:r>
      <w:r w:rsidR="00293654" w:rsidRPr="00FD636B">
        <w:rPr>
          <w:color w:val="000000"/>
        </w:rPr>
        <w:t xml:space="preserve">acoge las recomendaciones </w:t>
      </w:r>
      <w:r w:rsidR="002B54D8" w:rsidRPr="00FD636B">
        <w:rPr>
          <w:color w:val="000000"/>
        </w:rPr>
        <w:t>y resuelve</w:t>
      </w:r>
      <w:r w:rsidR="00293654" w:rsidRPr="00FD636B">
        <w:rPr>
          <w:color w:val="000000"/>
        </w:rPr>
        <w:t xml:space="preserve"> rechazar el recurso de r</w:t>
      </w:r>
      <w:r w:rsidR="00531421" w:rsidRPr="00FD636B">
        <w:rPr>
          <w:color w:val="000000"/>
        </w:rPr>
        <w:t>evocatoria y nulidad presentada</w:t>
      </w:r>
      <w:r w:rsidR="00293654" w:rsidRPr="00FD636B">
        <w:rPr>
          <w:color w:val="000000"/>
        </w:rPr>
        <w:t>.</w:t>
      </w:r>
      <w:r w:rsidR="00531421" w:rsidRPr="00FD636B">
        <w:rPr>
          <w:color w:val="000000"/>
        </w:rPr>
        <w:t xml:space="preserve"> (Léa</w:t>
      </w:r>
      <w:r w:rsidR="0013214F" w:rsidRPr="00FD636B">
        <w:rPr>
          <w:color w:val="000000"/>
        </w:rPr>
        <w:t>n</w:t>
      </w:r>
      <w:r w:rsidR="00531421" w:rsidRPr="00FD636B">
        <w:rPr>
          <w:color w:val="000000"/>
        </w:rPr>
        <w:t>se l</w:t>
      </w:r>
      <w:r w:rsidR="0013214F" w:rsidRPr="00FD636B">
        <w:rPr>
          <w:color w:val="000000"/>
        </w:rPr>
        <w:t>os</w:t>
      </w:r>
      <w:r w:rsidR="00531421" w:rsidRPr="00FD636B">
        <w:rPr>
          <w:color w:val="000000"/>
        </w:rPr>
        <w:t xml:space="preserve"> folio</w:t>
      </w:r>
      <w:r w:rsidR="0013214F" w:rsidRPr="00FD636B">
        <w:rPr>
          <w:color w:val="000000"/>
        </w:rPr>
        <w:t>s 7 y 8</w:t>
      </w:r>
      <w:r w:rsidR="00531421" w:rsidRPr="00FD636B">
        <w:rPr>
          <w:color w:val="000000"/>
        </w:rPr>
        <w:t xml:space="preserve"> del expediente </w:t>
      </w:r>
      <w:proofErr w:type="spellStart"/>
      <w:r w:rsidR="00531421" w:rsidRPr="00FD636B">
        <w:rPr>
          <w:color w:val="000000"/>
        </w:rPr>
        <w:t>TAT</w:t>
      </w:r>
      <w:proofErr w:type="spellEnd"/>
      <w:r w:rsidR="00531421" w:rsidRPr="00FD636B">
        <w:rPr>
          <w:color w:val="000000"/>
        </w:rPr>
        <w:t>-</w:t>
      </w:r>
      <w:r w:rsidR="00446BCA" w:rsidRPr="00FD636B">
        <w:rPr>
          <w:color w:val="000000"/>
        </w:rPr>
        <w:t>21-16</w:t>
      </w:r>
      <w:r w:rsidR="00531421" w:rsidRPr="00FD636B">
        <w:rPr>
          <w:color w:val="000000"/>
        </w:rPr>
        <w:t xml:space="preserve">) </w:t>
      </w:r>
    </w:p>
    <w:p w:rsidR="00531421" w:rsidRPr="00FD636B" w:rsidRDefault="00531421" w:rsidP="00D92AD5">
      <w:pPr>
        <w:spacing w:line="276" w:lineRule="auto"/>
        <w:jc w:val="both"/>
        <w:rPr>
          <w:color w:val="2E74B5"/>
        </w:rPr>
      </w:pPr>
    </w:p>
    <w:p w:rsidR="008B3C61" w:rsidRPr="00FD636B" w:rsidRDefault="006112DB" w:rsidP="008B3C61">
      <w:pPr>
        <w:spacing w:line="276" w:lineRule="auto"/>
        <w:jc w:val="both"/>
        <w:rPr>
          <w:color w:val="000000"/>
          <w:sz w:val="26"/>
          <w:szCs w:val="26"/>
        </w:rPr>
      </w:pPr>
      <w:r w:rsidRPr="00FD636B">
        <w:rPr>
          <w:b/>
          <w:color w:val="000000"/>
          <w:sz w:val="26"/>
          <w:szCs w:val="26"/>
        </w:rPr>
        <w:t>CUARTO. -</w:t>
      </w:r>
      <w:r w:rsidR="006C526B" w:rsidRPr="00FD636B">
        <w:rPr>
          <w:b/>
          <w:color w:val="000000"/>
          <w:sz w:val="26"/>
          <w:szCs w:val="26"/>
        </w:rPr>
        <w:tab/>
      </w:r>
      <w:r w:rsidR="008B3C61" w:rsidRPr="00FD636B">
        <w:rPr>
          <w:color w:val="000000"/>
          <w:sz w:val="26"/>
          <w:szCs w:val="26"/>
        </w:rPr>
        <w:t>E</w:t>
      </w:r>
      <w:r w:rsidRPr="00FD636B">
        <w:rPr>
          <w:color w:val="000000"/>
          <w:sz w:val="26"/>
          <w:szCs w:val="26"/>
        </w:rPr>
        <w:t xml:space="preserve">l </w:t>
      </w:r>
      <w:r w:rsidRPr="00FD636B">
        <w:rPr>
          <w:b/>
          <w:color w:val="000000"/>
          <w:sz w:val="26"/>
          <w:szCs w:val="26"/>
        </w:rPr>
        <w:t>30 de marzo del 2016</w:t>
      </w:r>
      <w:r w:rsidRPr="00FD636B">
        <w:rPr>
          <w:color w:val="000000"/>
          <w:sz w:val="26"/>
          <w:szCs w:val="26"/>
        </w:rPr>
        <w:t xml:space="preserve">, </w:t>
      </w:r>
      <w:r w:rsidRPr="00FD636B">
        <w:rPr>
          <w:color w:val="000000"/>
        </w:rPr>
        <w:t xml:space="preserve">la firma </w:t>
      </w:r>
      <w:proofErr w:type="spellStart"/>
      <w:r w:rsidR="00A35DD6">
        <w:rPr>
          <w:b/>
          <w:smallCaps/>
          <w:color w:val="000000"/>
        </w:rPr>
        <w:t>TAH</w:t>
      </w:r>
      <w:proofErr w:type="spellEnd"/>
      <w:r w:rsidRPr="00FD636B">
        <w:rPr>
          <w:b/>
          <w:smallCaps/>
          <w:color w:val="000000"/>
        </w:rPr>
        <w:t>.,</w:t>
      </w:r>
      <w:r w:rsidRPr="00FD636B">
        <w:rPr>
          <w:color w:val="000000"/>
        </w:rPr>
        <w:t xml:space="preserve"> se apersona al Tribunal Administrativo de Transporte, en virtud de la notificación del rechazo del Recurso de Revocatoria y sus incidencias, por parte del Consejo de Transporte Público en el </w:t>
      </w:r>
      <w:r w:rsidRPr="00FD636B">
        <w:rPr>
          <w:b/>
          <w:color w:val="000000"/>
        </w:rPr>
        <w:t>Artículo 7.7 de la Sesión Ordinaria 12-2016 del 1</w:t>
      </w:r>
      <w:r w:rsidR="007B7858" w:rsidRPr="00FD636B">
        <w:rPr>
          <w:b/>
          <w:color w:val="000000"/>
        </w:rPr>
        <w:t>0</w:t>
      </w:r>
      <w:r w:rsidRPr="00FD636B">
        <w:rPr>
          <w:b/>
          <w:color w:val="000000"/>
        </w:rPr>
        <w:t xml:space="preserve"> de marzo del 2016</w:t>
      </w:r>
      <w:r w:rsidR="0086376E" w:rsidRPr="00FD636B">
        <w:rPr>
          <w:color w:val="000000"/>
          <w:sz w:val="26"/>
          <w:szCs w:val="26"/>
        </w:rPr>
        <w:t>.</w:t>
      </w:r>
    </w:p>
    <w:p w:rsidR="003A63DB" w:rsidRPr="00FD636B" w:rsidRDefault="003A63DB" w:rsidP="008B3C61">
      <w:pPr>
        <w:spacing w:line="276" w:lineRule="auto"/>
        <w:jc w:val="both"/>
        <w:rPr>
          <w:b/>
          <w:color w:val="000000"/>
          <w:sz w:val="26"/>
          <w:szCs w:val="26"/>
        </w:rPr>
      </w:pPr>
    </w:p>
    <w:p w:rsidR="006112DB" w:rsidRPr="00FD636B" w:rsidRDefault="00216160" w:rsidP="006112DB">
      <w:pPr>
        <w:spacing w:line="276" w:lineRule="auto"/>
        <w:jc w:val="both"/>
        <w:rPr>
          <w:color w:val="000000"/>
          <w:sz w:val="26"/>
          <w:szCs w:val="26"/>
        </w:rPr>
      </w:pPr>
      <w:r w:rsidRPr="00FD636B">
        <w:rPr>
          <w:b/>
          <w:color w:val="000000"/>
          <w:sz w:val="26"/>
          <w:szCs w:val="26"/>
        </w:rPr>
        <w:t>QUINTO. -</w:t>
      </w:r>
      <w:r w:rsidR="006112DB" w:rsidRPr="00FD636B">
        <w:rPr>
          <w:b/>
          <w:color w:val="000000"/>
          <w:sz w:val="26"/>
          <w:szCs w:val="26"/>
        </w:rPr>
        <w:tab/>
      </w:r>
      <w:r w:rsidR="006112DB" w:rsidRPr="00FD636B">
        <w:rPr>
          <w:color w:val="000000"/>
          <w:sz w:val="26"/>
          <w:szCs w:val="26"/>
        </w:rPr>
        <w:t>En mérito de todo lo anterior y conforme a los términos y prescripciones de ley, procede a conocer este Tribunal.</w:t>
      </w:r>
    </w:p>
    <w:p w:rsidR="006112DB" w:rsidRDefault="006112DB" w:rsidP="008B3C61">
      <w:pPr>
        <w:spacing w:line="276" w:lineRule="auto"/>
        <w:jc w:val="both"/>
        <w:rPr>
          <w:b/>
          <w:color w:val="000000"/>
          <w:sz w:val="26"/>
          <w:szCs w:val="26"/>
        </w:rPr>
      </w:pPr>
    </w:p>
    <w:p w:rsidR="00CA3294" w:rsidRPr="00FD636B" w:rsidRDefault="00CA3294" w:rsidP="008B3C61">
      <w:pPr>
        <w:spacing w:line="276" w:lineRule="auto"/>
        <w:jc w:val="both"/>
        <w:rPr>
          <w:b/>
          <w:color w:val="000000"/>
          <w:sz w:val="26"/>
          <w:szCs w:val="26"/>
        </w:rPr>
      </w:pPr>
    </w:p>
    <w:p w:rsidR="0086376E" w:rsidRPr="00FD636B" w:rsidRDefault="0086376E" w:rsidP="0086376E">
      <w:pPr>
        <w:spacing w:line="276" w:lineRule="auto"/>
        <w:jc w:val="both"/>
        <w:rPr>
          <w:color w:val="000000"/>
          <w:sz w:val="26"/>
          <w:szCs w:val="26"/>
        </w:rPr>
      </w:pPr>
      <w:r w:rsidRPr="00FD636B">
        <w:rPr>
          <w:b/>
          <w:color w:val="000000"/>
          <w:sz w:val="26"/>
          <w:szCs w:val="26"/>
        </w:rPr>
        <w:t>R</w:t>
      </w:r>
      <w:r w:rsidR="00A262CD" w:rsidRPr="00FD636B">
        <w:rPr>
          <w:b/>
          <w:color w:val="000000"/>
          <w:sz w:val="26"/>
          <w:szCs w:val="26"/>
        </w:rPr>
        <w:t xml:space="preserve">EDACTA EL JUEZ </w:t>
      </w:r>
      <w:proofErr w:type="spellStart"/>
      <w:r w:rsidR="00A262CD" w:rsidRPr="00FD636B">
        <w:rPr>
          <w:b/>
          <w:color w:val="000000"/>
          <w:sz w:val="26"/>
          <w:szCs w:val="26"/>
        </w:rPr>
        <w:t>PORTUGUEZ</w:t>
      </w:r>
      <w:proofErr w:type="spellEnd"/>
      <w:r w:rsidR="00A262CD" w:rsidRPr="00FD636B">
        <w:rPr>
          <w:b/>
          <w:color w:val="000000"/>
          <w:sz w:val="26"/>
          <w:szCs w:val="26"/>
        </w:rPr>
        <w:t xml:space="preserve"> MÉNDEZ,</w:t>
      </w:r>
    </w:p>
    <w:p w:rsidR="006F7A66" w:rsidRPr="00FD636B" w:rsidRDefault="006F7A66" w:rsidP="006F7A66">
      <w:pPr>
        <w:pStyle w:val="Sinespaciado"/>
        <w:spacing w:line="276" w:lineRule="auto"/>
        <w:jc w:val="center"/>
        <w:rPr>
          <w:b/>
          <w:iCs/>
          <w:color w:val="000000"/>
          <w:lang w:val="es-CR"/>
        </w:rPr>
      </w:pPr>
    </w:p>
    <w:p w:rsidR="00CA3294" w:rsidRDefault="00CA3294" w:rsidP="006F7A66">
      <w:pPr>
        <w:pStyle w:val="Sinespaciado"/>
        <w:spacing w:line="276" w:lineRule="auto"/>
        <w:jc w:val="center"/>
        <w:rPr>
          <w:b/>
          <w:iCs/>
          <w:color w:val="000000"/>
          <w:lang w:val="es-CR"/>
        </w:rPr>
      </w:pPr>
    </w:p>
    <w:p w:rsidR="006F7A66" w:rsidRPr="00FD636B" w:rsidRDefault="00E046CA" w:rsidP="006F7A66">
      <w:pPr>
        <w:pStyle w:val="Sinespaciado"/>
        <w:spacing w:line="276" w:lineRule="auto"/>
        <w:jc w:val="center"/>
        <w:rPr>
          <w:b/>
          <w:iCs/>
          <w:color w:val="000000"/>
          <w:lang w:val="es-CR"/>
        </w:rPr>
      </w:pPr>
      <w:r w:rsidRPr="00FD636B">
        <w:rPr>
          <w:b/>
          <w:iCs/>
          <w:color w:val="000000"/>
          <w:lang w:val="es-CR"/>
        </w:rPr>
        <w:t>CONSIDERANDO</w:t>
      </w:r>
    </w:p>
    <w:p w:rsidR="00E046CA" w:rsidRDefault="00E046CA" w:rsidP="006F7A66">
      <w:pPr>
        <w:pStyle w:val="Sinespaciado"/>
        <w:spacing w:line="276" w:lineRule="auto"/>
        <w:jc w:val="center"/>
        <w:rPr>
          <w:b/>
          <w:iCs/>
          <w:color w:val="000000"/>
          <w:lang w:val="es-CR"/>
        </w:rPr>
      </w:pPr>
    </w:p>
    <w:p w:rsidR="00CA3294" w:rsidRPr="00FD636B" w:rsidRDefault="00CA3294" w:rsidP="006F7A66">
      <w:pPr>
        <w:pStyle w:val="Sinespaciado"/>
        <w:spacing w:line="276" w:lineRule="auto"/>
        <w:jc w:val="center"/>
        <w:rPr>
          <w:b/>
          <w:iCs/>
          <w:color w:val="000000"/>
          <w:lang w:val="es-CR"/>
        </w:rPr>
      </w:pPr>
    </w:p>
    <w:p w:rsidR="0097136B" w:rsidRPr="00FD636B" w:rsidRDefault="0097136B" w:rsidP="0097136B">
      <w:pPr>
        <w:pStyle w:val="Style9"/>
        <w:numPr>
          <w:ilvl w:val="0"/>
          <w:numId w:val="3"/>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FD636B">
        <w:rPr>
          <w:rStyle w:val="CharacterStyle6"/>
          <w:b/>
          <w:bCs/>
          <w:color w:val="000000"/>
          <w:sz w:val="24"/>
          <w:szCs w:val="24"/>
          <w:lang w:val="es-CR"/>
        </w:rPr>
        <w:t xml:space="preserve">COMPETENCIA. - </w:t>
      </w:r>
      <w:r w:rsidRPr="00FD636B">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FD636B">
        <w:rPr>
          <w:rStyle w:val="CharacterStyle6"/>
          <w:color w:val="000000"/>
          <w:spacing w:val="1"/>
          <w:w w:val="105"/>
          <w:sz w:val="24"/>
          <w:szCs w:val="24"/>
          <w:lang w:val="es-CR"/>
        </w:rPr>
        <w:t xml:space="preserve">Ley Reguladora del Servicio Público de Transporte Remunerado de Personas en Vehículos </w:t>
      </w:r>
      <w:r w:rsidRPr="00FD636B">
        <w:rPr>
          <w:rStyle w:val="CharacterStyle6"/>
          <w:color w:val="000000"/>
          <w:spacing w:val="-1"/>
          <w:w w:val="105"/>
          <w:sz w:val="24"/>
          <w:szCs w:val="24"/>
          <w:lang w:val="es-CR"/>
        </w:rPr>
        <w:t>en la Modalidad de Taxi N. 7969 del 22 de diciembre de 1999.</w:t>
      </w:r>
    </w:p>
    <w:p w:rsidR="0097136B" w:rsidRDefault="0097136B" w:rsidP="0097136B">
      <w:pPr>
        <w:pStyle w:val="Style9"/>
        <w:tabs>
          <w:tab w:val="left" w:pos="426"/>
        </w:tabs>
        <w:kinsoku w:val="0"/>
        <w:autoSpaceDE/>
        <w:autoSpaceDN/>
        <w:spacing w:before="0" w:line="276" w:lineRule="auto"/>
        <w:ind w:right="0"/>
        <w:rPr>
          <w:color w:val="000000"/>
          <w:spacing w:val="-1"/>
          <w:w w:val="105"/>
          <w:sz w:val="24"/>
          <w:szCs w:val="24"/>
          <w:lang w:val="es-CR"/>
        </w:rPr>
      </w:pPr>
    </w:p>
    <w:p w:rsidR="00CA3294" w:rsidRPr="00FD636B" w:rsidRDefault="00CA3294" w:rsidP="0097136B">
      <w:pPr>
        <w:pStyle w:val="Style9"/>
        <w:tabs>
          <w:tab w:val="left" w:pos="426"/>
        </w:tabs>
        <w:kinsoku w:val="0"/>
        <w:autoSpaceDE/>
        <w:autoSpaceDN/>
        <w:spacing w:before="0" w:line="276" w:lineRule="auto"/>
        <w:ind w:right="0"/>
        <w:rPr>
          <w:color w:val="000000"/>
          <w:spacing w:val="-1"/>
          <w:w w:val="105"/>
          <w:sz w:val="24"/>
          <w:szCs w:val="24"/>
          <w:lang w:val="es-CR"/>
        </w:rPr>
      </w:pPr>
    </w:p>
    <w:p w:rsidR="0097136B" w:rsidRPr="00FD636B" w:rsidRDefault="0097136B" w:rsidP="0097136B">
      <w:pPr>
        <w:pStyle w:val="Style9"/>
        <w:numPr>
          <w:ilvl w:val="0"/>
          <w:numId w:val="3"/>
        </w:numPr>
        <w:tabs>
          <w:tab w:val="left" w:pos="426"/>
        </w:tabs>
        <w:kinsoku w:val="0"/>
        <w:autoSpaceDE/>
        <w:autoSpaceDN/>
        <w:spacing w:before="0" w:line="276" w:lineRule="auto"/>
        <w:ind w:left="0" w:right="0" w:firstLine="0"/>
        <w:rPr>
          <w:smallCaps/>
          <w:color w:val="5B9BD5"/>
          <w:sz w:val="24"/>
          <w:szCs w:val="24"/>
          <w:lang w:val="es-CR"/>
        </w:rPr>
      </w:pPr>
      <w:r w:rsidRPr="00FD636B">
        <w:rPr>
          <w:b/>
          <w:color w:val="000000"/>
          <w:sz w:val="24"/>
          <w:szCs w:val="24"/>
          <w:lang w:val="es-CR"/>
        </w:rPr>
        <w:t xml:space="preserve">ADMISIBILIDAD DEL RECURSO. - </w:t>
      </w:r>
      <w:r w:rsidRPr="00FD636B">
        <w:rPr>
          <w:b/>
          <w:color w:val="000000"/>
          <w:sz w:val="24"/>
          <w:szCs w:val="24"/>
          <w:u w:val="single"/>
          <w:lang w:val="es-CR"/>
        </w:rPr>
        <w:t>En cuanto a la Legitimación</w:t>
      </w:r>
      <w:r w:rsidRPr="00FD636B">
        <w:rPr>
          <w:b/>
          <w:color w:val="000000"/>
          <w:sz w:val="24"/>
          <w:szCs w:val="24"/>
          <w:lang w:val="es-CR"/>
        </w:rPr>
        <w:t xml:space="preserve">: </w:t>
      </w:r>
      <w:r w:rsidRPr="00FD636B">
        <w:rPr>
          <w:color w:val="000000"/>
          <w:sz w:val="24"/>
          <w:szCs w:val="24"/>
          <w:lang w:val="es-CR"/>
        </w:rPr>
        <w:t xml:space="preserve">La empresa </w:t>
      </w:r>
      <w:proofErr w:type="spellStart"/>
      <w:r w:rsidR="00A35DD6">
        <w:rPr>
          <w:b/>
          <w:smallCaps/>
          <w:color w:val="000000"/>
          <w:sz w:val="24"/>
          <w:szCs w:val="24"/>
          <w:lang w:val="es-CR"/>
        </w:rPr>
        <w:t>TAH</w:t>
      </w:r>
      <w:proofErr w:type="spellEnd"/>
      <w:r w:rsidRPr="00FD636B">
        <w:rPr>
          <w:b/>
          <w:smallCaps/>
          <w:color w:val="000000"/>
          <w:sz w:val="24"/>
          <w:szCs w:val="24"/>
          <w:lang w:val="es-CR"/>
        </w:rPr>
        <w:t>.</w:t>
      </w:r>
      <w:r w:rsidRPr="00FD636B">
        <w:rPr>
          <w:color w:val="000000"/>
          <w:sz w:val="24"/>
          <w:szCs w:val="24"/>
          <w:lang w:val="es-CR"/>
        </w:rPr>
        <w:t xml:space="preserve">, expresa que ostenta su legitimación para impugnar el acuerdo contenido en el </w:t>
      </w:r>
      <w:r w:rsidRPr="00FD636B">
        <w:rPr>
          <w:b/>
          <w:color w:val="000000"/>
          <w:sz w:val="24"/>
          <w:szCs w:val="24"/>
          <w:lang w:val="es-CR"/>
        </w:rPr>
        <w:t>Artículo 7.6 de la Sesión Ordinaria 36-2015, celebrada el 24 de junio del 2016</w:t>
      </w:r>
      <w:r w:rsidRPr="00FD636B">
        <w:rPr>
          <w:color w:val="000000"/>
          <w:sz w:val="24"/>
          <w:szCs w:val="24"/>
          <w:lang w:val="es-CR"/>
        </w:rPr>
        <w:t xml:space="preserve">, </w:t>
      </w:r>
      <w:r w:rsidR="00131490" w:rsidRPr="00FD636B">
        <w:rPr>
          <w:color w:val="000000"/>
          <w:sz w:val="24"/>
          <w:szCs w:val="24"/>
          <w:lang w:val="es-CR"/>
        </w:rPr>
        <w:t xml:space="preserve">se cancela el permiso de operación de la </w:t>
      </w:r>
      <w:r w:rsidR="00306070">
        <w:rPr>
          <w:b/>
          <w:color w:val="000000"/>
          <w:sz w:val="24"/>
          <w:szCs w:val="24"/>
          <w:lang w:val="es-CR"/>
        </w:rPr>
        <w:t>Ruta 00</w:t>
      </w:r>
      <w:r w:rsidR="00131490" w:rsidRPr="00FD636B">
        <w:rPr>
          <w:color w:val="000000"/>
          <w:sz w:val="24"/>
          <w:szCs w:val="24"/>
          <w:lang w:val="es-CR"/>
        </w:rPr>
        <w:t xml:space="preserve"> descrita como </w:t>
      </w:r>
      <w:proofErr w:type="spellStart"/>
      <w:r w:rsidR="00131490" w:rsidRPr="00FD636B">
        <w:rPr>
          <w:color w:val="000000"/>
          <w:sz w:val="24"/>
          <w:szCs w:val="24"/>
          <w:lang w:val="es-CR"/>
        </w:rPr>
        <w:t>Orotina</w:t>
      </w:r>
      <w:proofErr w:type="spellEnd"/>
      <w:r w:rsidR="00131490" w:rsidRPr="00FD636B">
        <w:rPr>
          <w:color w:val="000000"/>
          <w:sz w:val="24"/>
          <w:szCs w:val="24"/>
          <w:lang w:val="es-CR"/>
        </w:rPr>
        <w:t xml:space="preserve">-San  Mateo Labrador y viceversa, </w:t>
      </w:r>
      <w:r w:rsidR="002C1D8A">
        <w:rPr>
          <w:color w:val="000000"/>
          <w:sz w:val="24"/>
          <w:szCs w:val="24"/>
          <w:lang w:val="es-CR"/>
        </w:rPr>
        <w:t>por incumplir con su deber</w:t>
      </w:r>
      <w:r w:rsidR="00BC5CF6" w:rsidRPr="00FD636B">
        <w:rPr>
          <w:color w:val="000000"/>
          <w:sz w:val="24"/>
          <w:szCs w:val="24"/>
          <w:lang w:val="es-CR"/>
        </w:rPr>
        <w:t xml:space="preserve"> de estar al día con sus obligaciones obrero patronales ante la Caja Costarricense de Seguro Social, de ahí que ostenta legitimación.  </w:t>
      </w:r>
      <w:r w:rsidRPr="00FD636B">
        <w:rPr>
          <w:b/>
          <w:color w:val="000000"/>
          <w:sz w:val="24"/>
          <w:szCs w:val="24"/>
          <w:u w:val="single"/>
          <w:lang w:val="es-CR"/>
        </w:rPr>
        <w:t>En cuanto al Plazo</w:t>
      </w:r>
      <w:r w:rsidRPr="00FD636B">
        <w:rPr>
          <w:color w:val="000000"/>
          <w:sz w:val="24"/>
          <w:szCs w:val="24"/>
          <w:lang w:val="es-CR"/>
        </w:rPr>
        <w:t xml:space="preserve">. El acuerdo contenido en el </w:t>
      </w:r>
      <w:r w:rsidR="00244C9C" w:rsidRPr="00FD636B">
        <w:rPr>
          <w:b/>
          <w:color w:val="000000"/>
          <w:sz w:val="24"/>
          <w:szCs w:val="24"/>
          <w:lang w:val="es-CR"/>
        </w:rPr>
        <w:t>Artículo 7.6 de la Sesión Ordinaria 36-2015, celebrada el 24 de junio del 2016</w:t>
      </w:r>
      <w:r w:rsidRPr="00FD636B">
        <w:rPr>
          <w:color w:val="000000"/>
          <w:sz w:val="24"/>
          <w:szCs w:val="24"/>
          <w:lang w:val="es-CR"/>
        </w:rPr>
        <w:t xml:space="preserve">, fue notificado el </w:t>
      </w:r>
      <w:r w:rsidR="00244C9C" w:rsidRPr="00FD636B">
        <w:rPr>
          <w:b/>
          <w:color w:val="000000"/>
          <w:sz w:val="24"/>
          <w:szCs w:val="24"/>
          <w:lang w:val="es-CR"/>
        </w:rPr>
        <w:t>15</w:t>
      </w:r>
      <w:r w:rsidRPr="00FD636B">
        <w:rPr>
          <w:b/>
          <w:color w:val="000000"/>
          <w:sz w:val="24"/>
          <w:szCs w:val="24"/>
          <w:lang w:val="es-CR"/>
        </w:rPr>
        <w:t xml:space="preserve"> de </w:t>
      </w:r>
      <w:r w:rsidR="00244C9C" w:rsidRPr="00FD636B">
        <w:rPr>
          <w:b/>
          <w:color w:val="000000"/>
          <w:sz w:val="24"/>
          <w:szCs w:val="24"/>
          <w:lang w:val="es-CR"/>
        </w:rPr>
        <w:t>julio</w:t>
      </w:r>
      <w:r w:rsidRPr="00FD636B">
        <w:rPr>
          <w:b/>
          <w:color w:val="000000"/>
          <w:sz w:val="24"/>
          <w:szCs w:val="24"/>
          <w:lang w:val="es-CR"/>
        </w:rPr>
        <w:t xml:space="preserve"> del 201</w:t>
      </w:r>
      <w:r w:rsidR="00244C9C" w:rsidRPr="00FD636B">
        <w:rPr>
          <w:b/>
          <w:color w:val="000000"/>
          <w:sz w:val="24"/>
          <w:szCs w:val="24"/>
          <w:lang w:val="es-CR"/>
        </w:rPr>
        <w:t>5</w:t>
      </w:r>
      <w:r w:rsidRPr="00FD636B">
        <w:rPr>
          <w:color w:val="000000"/>
          <w:sz w:val="24"/>
          <w:szCs w:val="24"/>
          <w:lang w:val="es-CR"/>
        </w:rPr>
        <w:t xml:space="preserve">, </w:t>
      </w:r>
      <w:r w:rsidR="00244C9C" w:rsidRPr="00FD636B">
        <w:rPr>
          <w:color w:val="000000"/>
          <w:sz w:val="24"/>
          <w:szCs w:val="24"/>
          <w:lang w:val="es-CR"/>
        </w:rPr>
        <w:t xml:space="preserve">y el recurso fue presentado el </w:t>
      </w:r>
      <w:r w:rsidRPr="00FD636B">
        <w:rPr>
          <w:b/>
          <w:color w:val="000000"/>
          <w:sz w:val="24"/>
          <w:szCs w:val="24"/>
          <w:lang w:val="es-CR"/>
        </w:rPr>
        <w:t>2</w:t>
      </w:r>
      <w:r w:rsidR="00244C9C" w:rsidRPr="00FD636B">
        <w:rPr>
          <w:b/>
          <w:color w:val="000000"/>
          <w:sz w:val="24"/>
          <w:szCs w:val="24"/>
          <w:lang w:val="es-CR"/>
        </w:rPr>
        <w:t>0</w:t>
      </w:r>
      <w:r w:rsidRPr="00FD636B">
        <w:rPr>
          <w:b/>
          <w:color w:val="000000"/>
          <w:sz w:val="24"/>
          <w:szCs w:val="24"/>
          <w:lang w:val="es-CR"/>
        </w:rPr>
        <w:t xml:space="preserve"> de </w:t>
      </w:r>
      <w:r w:rsidR="00244C9C" w:rsidRPr="00FD636B">
        <w:rPr>
          <w:b/>
          <w:color w:val="000000"/>
          <w:sz w:val="24"/>
          <w:szCs w:val="24"/>
          <w:lang w:val="es-CR"/>
        </w:rPr>
        <w:t>julio</w:t>
      </w:r>
      <w:r w:rsidRPr="00FD636B">
        <w:rPr>
          <w:b/>
          <w:color w:val="000000"/>
          <w:sz w:val="24"/>
          <w:szCs w:val="24"/>
          <w:lang w:val="es-CR"/>
        </w:rPr>
        <w:t xml:space="preserve"> del 201</w:t>
      </w:r>
      <w:r w:rsidR="00244C9C" w:rsidRPr="00FD636B">
        <w:rPr>
          <w:b/>
          <w:color w:val="000000"/>
          <w:sz w:val="24"/>
          <w:szCs w:val="24"/>
          <w:lang w:val="es-CR"/>
        </w:rPr>
        <w:t>5</w:t>
      </w:r>
      <w:r w:rsidRPr="00FD636B">
        <w:rPr>
          <w:color w:val="000000"/>
          <w:sz w:val="24"/>
          <w:szCs w:val="24"/>
          <w:lang w:val="es-CR"/>
        </w:rPr>
        <w:t>, por lo que se encuentra en tiempo.</w:t>
      </w:r>
    </w:p>
    <w:p w:rsidR="0097136B" w:rsidRDefault="0097136B" w:rsidP="0097136B">
      <w:pPr>
        <w:pStyle w:val="Prrafodelista"/>
        <w:ind w:left="0"/>
        <w:contextualSpacing w:val="0"/>
        <w:rPr>
          <w:b/>
          <w:color w:val="000000"/>
        </w:rPr>
      </w:pPr>
    </w:p>
    <w:p w:rsidR="00CA3294" w:rsidRPr="00FD636B" w:rsidRDefault="00CA3294" w:rsidP="0097136B">
      <w:pPr>
        <w:pStyle w:val="Prrafodelista"/>
        <w:ind w:left="0"/>
        <w:contextualSpacing w:val="0"/>
        <w:rPr>
          <w:b/>
          <w:color w:val="000000"/>
        </w:rPr>
      </w:pPr>
    </w:p>
    <w:p w:rsidR="0045140A" w:rsidRPr="0045140A" w:rsidRDefault="0045140A" w:rsidP="0045140A">
      <w:pPr>
        <w:pStyle w:val="Style1"/>
        <w:kinsoku w:val="0"/>
        <w:overflowPunct w:val="0"/>
        <w:autoSpaceDE/>
        <w:autoSpaceDN/>
        <w:adjustRightInd/>
        <w:spacing w:line="276" w:lineRule="auto"/>
        <w:jc w:val="both"/>
        <w:textAlignment w:val="baseline"/>
        <w:rPr>
          <w:color w:val="000000"/>
          <w:lang w:val="es-CR"/>
        </w:rPr>
      </w:pPr>
      <w:r>
        <w:rPr>
          <w:b/>
          <w:color w:val="000000"/>
          <w:lang w:val="es-CR"/>
        </w:rPr>
        <w:t xml:space="preserve">3.- </w:t>
      </w:r>
      <w:r w:rsidRPr="0045140A">
        <w:rPr>
          <w:b/>
          <w:color w:val="000000"/>
          <w:lang w:val="es-CR"/>
        </w:rPr>
        <w:t>HECHOS PROBADOS.</w:t>
      </w:r>
      <w:r w:rsidRPr="0045140A">
        <w:rPr>
          <w:color w:val="000000"/>
          <w:lang w:val="es-CR"/>
        </w:rPr>
        <w:t xml:space="preserve"> -</w:t>
      </w:r>
      <w:r>
        <w:rPr>
          <w:color w:val="000000"/>
          <w:lang w:val="es-CR"/>
        </w:rPr>
        <w:t xml:space="preserve"> </w:t>
      </w:r>
      <w:r w:rsidRPr="0045140A">
        <w:rPr>
          <w:color w:val="000000"/>
          <w:lang w:val="es-CR"/>
        </w:rPr>
        <w:t>De importancia para la decisión de este asunto, se estiman como debidamente demostrados los siguientes hechos:</w:t>
      </w:r>
    </w:p>
    <w:p w:rsidR="0097136B" w:rsidRPr="0045140A" w:rsidRDefault="0097136B" w:rsidP="0045140A">
      <w:pPr>
        <w:pStyle w:val="Style9"/>
        <w:tabs>
          <w:tab w:val="left" w:pos="426"/>
          <w:tab w:val="left" w:pos="3402"/>
        </w:tabs>
        <w:kinsoku w:val="0"/>
        <w:autoSpaceDE/>
        <w:autoSpaceDN/>
        <w:spacing w:before="0" w:line="276" w:lineRule="auto"/>
        <w:ind w:right="0"/>
        <w:rPr>
          <w:smallCaps/>
          <w:color w:val="000000"/>
          <w:sz w:val="24"/>
          <w:szCs w:val="24"/>
          <w:lang w:val="es-CR"/>
        </w:rPr>
      </w:pPr>
    </w:p>
    <w:p w:rsidR="00D20ED0" w:rsidRPr="00F2590A" w:rsidRDefault="0097136B" w:rsidP="00F2590A">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F2590A">
        <w:rPr>
          <w:smallCaps/>
          <w:color w:val="000000"/>
          <w:sz w:val="22"/>
          <w:szCs w:val="22"/>
          <w:lang w:val="es-CR"/>
        </w:rPr>
        <w:t>L</w:t>
      </w:r>
      <w:r w:rsidRPr="00F2590A">
        <w:rPr>
          <w:color w:val="000000"/>
          <w:sz w:val="22"/>
          <w:szCs w:val="22"/>
          <w:lang w:val="es-CR"/>
        </w:rPr>
        <w:t xml:space="preserve">a empresa </w:t>
      </w:r>
      <w:proofErr w:type="spellStart"/>
      <w:r w:rsidR="00A35DD6">
        <w:rPr>
          <w:b/>
          <w:smallCaps/>
          <w:color w:val="000000"/>
          <w:sz w:val="22"/>
          <w:szCs w:val="22"/>
          <w:lang w:val="es-CR"/>
        </w:rPr>
        <w:t>TAH</w:t>
      </w:r>
      <w:proofErr w:type="spellEnd"/>
      <w:r w:rsidRPr="00F2590A">
        <w:rPr>
          <w:b/>
          <w:smallCaps/>
          <w:color w:val="000000"/>
          <w:sz w:val="22"/>
          <w:szCs w:val="22"/>
          <w:lang w:val="es-CR"/>
        </w:rPr>
        <w:t>.</w:t>
      </w:r>
      <w:r w:rsidRPr="00F2590A">
        <w:rPr>
          <w:color w:val="000000"/>
          <w:sz w:val="22"/>
          <w:szCs w:val="22"/>
          <w:lang w:val="es-CR"/>
        </w:rPr>
        <w:t xml:space="preserve">, </w:t>
      </w:r>
      <w:r w:rsidR="00D20ED0" w:rsidRPr="00F2590A">
        <w:rPr>
          <w:color w:val="000000"/>
          <w:sz w:val="22"/>
          <w:szCs w:val="22"/>
          <w:lang w:val="es-CR"/>
        </w:rPr>
        <w:t>fue consignada como permisionaria apta para participar en el “</w:t>
      </w:r>
      <w:r w:rsidR="00D20ED0" w:rsidRPr="00F2590A">
        <w:rPr>
          <w:i/>
          <w:color w:val="000000"/>
          <w:sz w:val="22"/>
          <w:szCs w:val="22"/>
          <w:lang w:val="es-CR"/>
        </w:rPr>
        <w:t>Procedimiento Especial Abreviado para el Otorgamiento de Concesiones en el Transporte Público Remunerado de Personas en Rutas Regulares</w:t>
      </w:r>
      <w:r w:rsidR="00D20ED0" w:rsidRPr="00F2590A">
        <w:rPr>
          <w:color w:val="000000"/>
          <w:sz w:val="22"/>
          <w:szCs w:val="22"/>
          <w:lang w:val="es-CR"/>
        </w:rPr>
        <w:t>”, Decreto Ejecutivo 37737-</w:t>
      </w:r>
      <w:proofErr w:type="spellStart"/>
      <w:r w:rsidR="00D20ED0" w:rsidRPr="00F2590A">
        <w:rPr>
          <w:color w:val="000000"/>
          <w:sz w:val="22"/>
          <w:szCs w:val="22"/>
          <w:lang w:val="es-CR"/>
        </w:rPr>
        <w:t>MOPT</w:t>
      </w:r>
      <w:proofErr w:type="spellEnd"/>
      <w:r w:rsidR="00D20ED0" w:rsidRPr="00F2590A">
        <w:rPr>
          <w:color w:val="000000"/>
          <w:sz w:val="22"/>
          <w:szCs w:val="22"/>
          <w:lang w:val="es-CR"/>
        </w:rPr>
        <w:t xml:space="preserve">, publicado en el Diario Oficial La Gaceta N° 133 del jueves 11 de julio del 2013. </w:t>
      </w:r>
    </w:p>
    <w:p w:rsidR="00D2025D" w:rsidRPr="009B4163" w:rsidRDefault="00D20ED0" w:rsidP="00F2590A">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F2590A">
        <w:rPr>
          <w:color w:val="000000"/>
          <w:sz w:val="22"/>
          <w:szCs w:val="22"/>
          <w:lang w:val="es-CR"/>
        </w:rPr>
        <w:t xml:space="preserve">La Junta Directiva del Consejo de Transporte Público, en </w:t>
      </w:r>
      <w:r w:rsidR="0097136B" w:rsidRPr="00F2590A">
        <w:rPr>
          <w:color w:val="000000"/>
          <w:sz w:val="22"/>
          <w:szCs w:val="22"/>
          <w:lang w:val="es-CR"/>
        </w:rPr>
        <w:t xml:space="preserve">el </w:t>
      </w:r>
      <w:r w:rsidR="0097136B" w:rsidRPr="00F2590A">
        <w:rPr>
          <w:b/>
          <w:color w:val="000000"/>
          <w:sz w:val="22"/>
          <w:szCs w:val="22"/>
          <w:lang w:val="es-CR"/>
        </w:rPr>
        <w:t>Artículo 7.</w:t>
      </w:r>
      <w:r w:rsidRPr="00F2590A">
        <w:rPr>
          <w:b/>
          <w:color w:val="000000"/>
          <w:sz w:val="22"/>
          <w:szCs w:val="22"/>
          <w:lang w:val="es-CR"/>
        </w:rPr>
        <w:t>1</w:t>
      </w:r>
      <w:r w:rsidR="0097136B" w:rsidRPr="00F2590A">
        <w:rPr>
          <w:b/>
          <w:color w:val="000000"/>
          <w:sz w:val="22"/>
          <w:szCs w:val="22"/>
          <w:lang w:val="es-CR"/>
        </w:rPr>
        <w:t xml:space="preserve"> de la Sesión Ordinaria </w:t>
      </w:r>
      <w:r w:rsidRPr="00F2590A">
        <w:rPr>
          <w:b/>
          <w:color w:val="000000"/>
          <w:sz w:val="22"/>
          <w:szCs w:val="22"/>
          <w:lang w:val="es-CR"/>
        </w:rPr>
        <w:t>85-2013</w:t>
      </w:r>
      <w:r w:rsidR="0097136B" w:rsidRPr="00F2590A">
        <w:rPr>
          <w:b/>
          <w:color w:val="000000"/>
          <w:sz w:val="22"/>
          <w:szCs w:val="22"/>
          <w:lang w:val="es-CR"/>
        </w:rPr>
        <w:t xml:space="preserve"> del </w:t>
      </w:r>
      <w:r w:rsidRPr="00F2590A">
        <w:rPr>
          <w:b/>
          <w:color w:val="000000"/>
          <w:sz w:val="22"/>
          <w:szCs w:val="22"/>
          <w:lang w:val="es-CR"/>
        </w:rPr>
        <w:t>20</w:t>
      </w:r>
      <w:r w:rsidR="0097136B" w:rsidRPr="00F2590A">
        <w:rPr>
          <w:b/>
          <w:color w:val="000000"/>
          <w:sz w:val="22"/>
          <w:szCs w:val="22"/>
          <w:lang w:val="es-CR"/>
        </w:rPr>
        <w:t xml:space="preserve"> de </w:t>
      </w:r>
      <w:r w:rsidRPr="00F2590A">
        <w:rPr>
          <w:b/>
          <w:color w:val="000000"/>
          <w:sz w:val="22"/>
          <w:szCs w:val="22"/>
          <w:lang w:val="es-CR"/>
        </w:rPr>
        <w:t xml:space="preserve">noviembre </w:t>
      </w:r>
      <w:r w:rsidR="0097136B" w:rsidRPr="00F2590A">
        <w:rPr>
          <w:b/>
          <w:color w:val="000000"/>
          <w:sz w:val="22"/>
          <w:szCs w:val="22"/>
          <w:lang w:val="es-CR"/>
        </w:rPr>
        <w:t>del 201</w:t>
      </w:r>
      <w:r w:rsidRPr="00F2590A">
        <w:rPr>
          <w:b/>
          <w:color w:val="000000"/>
          <w:sz w:val="22"/>
          <w:szCs w:val="22"/>
          <w:lang w:val="es-CR"/>
        </w:rPr>
        <w:t>3</w:t>
      </w:r>
      <w:r w:rsidR="0097136B" w:rsidRPr="00F2590A">
        <w:rPr>
          <w:color w:val="000000"/>
          <w:sz w:val="22"/>
          <w:szCs w:val="22"/>
          <w:lang w:val="es-CR"/>
        </w:rPr>
        <w:t xml:space="preserve">, </w:t>
      </w:r>
      <w:r w:rsidR="00D2025D" w:rsidRPr="00F2590A">
        <w:rPr>
          <w:color w:val="000000"/>
          <w:sz w:val="22"/>
          <w:szCs w:val="22"/>
          <w:lang w:val="es-CR"/>
        </w:rPr>
        <w:t xml:space="preserve">publicada en el en el Diario Oficial La Gaceta N° 27 del viernes 7 de febrero del 2014, acordó aprobar la precalificación de la empresa </w:t>
      </w:r>
      <w:proofErr w:type="spellStart"/>
      <w:r w:rsidR="00A35DD6">
        <w:rPr>
          <w:b/>
          <w:smallCaps/>
          <w:color w:val="000000"/>
          <w:sz w:val="22"/>
          <w:szCs w:val="22"/>
          <w:lang w:val="es-CR"/>
        </w:rPr>
        <w:t>TAH</w:t>
      </w:r>
      <w:proofErr w:type="spellEnd"/>
      <w:r w:rsidR="00D2025D" w:rsidRPr="00F2590A">
        <w:rPr>
          <w:b/>
          <w:smallCaps/>
          <w:color w:val="000000"/>
          <w:sz w:val="22"/>
          <w:szCs w:val="22"/>
          <w:lang w:val="es-CR"/>
        </w:rPr>
        <w:t>.</w:t>
      </w:r>
      <w:r w:rsidR="00D2025D" w:rsidRPr="00F2590A">
        <w:rPr>
          <w:color w:val="000000"/>
          <w:sz w:val="22"/>
          <w:szCs w:val="22"/>
          <w:lang w:val="es-CR"/>
        </w:rPr>
        <w:t xml:space="preserve">, para optar por la concesión de la </w:t>
      </w:r>
      <w:r w:rsidR="00306070">
        <w:rPr>
          <w:b/>
          <w:color w:val="000000"/>
          <w:sz w:val="22"/>
          <w:szCs w:val="22"/>
          <w:lang w:val="es-CR"/>
        </w:rPr>
        <w:t>Ruta 00</w:t>
      </w:r>
      <w:r w:rsidR="00D2025D" w:rsidRPr="009B4163">
        <w:rPr>
          <w:color w:val="000000"/>
          <w:sz w:val="22"/>
          <w:szCs w:val="22"/>
          <w:lang w:val="es-CR"/>
        </w:rPr>
        <w:t xml:space="preserve"> </w:t>
      </w:r>
      <w:r w:rsidR="0045140A" w:rsidRPr="009B4163">
        <w:rPr>
          <w:color w:val="000000"/>
          <w:sz w:val="22"/>
          <w:szCs w:val="22"/>
          <w:lang w:val="es-CR"/>
        </w:rPr>
        <w:t xml:space="preserve">descrita como </w:t>
      </w:r>
      <w:proofErr w:type="spellStart"/>
      <w:r w:rsidR="0045140A" w:rsidRPr="009B4163">
        <w:rPr>
          <w:color w:val="000000"/>
          <w:sz w:val="22"/>
          <w:szCs w:val="22"/>
          <w:lang w:val="es-CR"/>
        </w:rPr>
        <w:t>Orotina</w:t>
      </w:r>
      <w:proofErr w:type="spellEnd"/>
      <w:r w:rsidR="0045140A" w:rsidRPr="009B4163">
        <w:rPr>
          <w:color w:val="000000"/>
          <w:sz w:val="22"/>
          <w:szCs w:val="22"/>
          <w:lang w:val="es-CR"/>
        </w:rPr>
        <w:t>-San Mateo-</w:t>
      </w:r>
      <w:r w:rsidR="00D2025D" w:rsidRPr="009B4163">
        <w:rPr>
          <w:color w:val="000000"/>
          <w:sz w:val="22"/>
          <w:szCs w:val="22"/>
          <w:lang w:val="es-CR"/>
        </w:rPr>
        <w:t>Labrador y viceversa.</w:t>
      </w:r>
    </w:p>
    <w:p w:rsidR="003B474A" w:rsidRPr="009B4163" w:rsidRDefault="003B474A" w:rsidP="003B474A">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9B4163">
        <w:rPr>
          <w:color w:val="000000"/>
          <w:sz w:val="22"/>
          <w:szCs w:val="22"/>
          <w:lang w:val="es-CR"/>
        </w:rPr>
        <w:t xml:space="preserve">La Junta Directiva del Consejo de Transporte Público en el </w:t>
      </w:r>
      <w:r w:rsidRPr="009B4163">
        <w:rPr>
          <w:b/>
          <w:color w:val="000000"/>
          <w:sz w:val="22"/>
          <w:szCs w:val="22"/>
          <w:lang w:val="es-CR"/>
        </w:rPr>
        <w:t>Artículo 7.16 de la Sesión Ordinaria 11-2015 del 26 de febrero del 2016</w:t>
      </w:r>
      <w:r w:rsidRPr="009B4163">
        <w:rPr>
          <w:color w:val="000000"/>
          <w:sz w:val="22"/>
          <w:szCs w:val="22"/>
          <w:lang w:val="es-CR"/>
        </w:rPr>
        <w:t xml:space="preserve"> dispuso ordenar el inicio de los procedimientos administrativos correspondientes, en contra de los permisionarios o concesionarios que se verificó se encontraban morosos con sus obligaciones con la Caja Costarricense de Seguro Social. (Léanse los folios 57 a 62 del expediente </w:t>
      </w:r>
      <w:proofErr w:type="spellStart"/>
      <w:r w:rsidRPr="009B4163">
        <w:rPr>
          <w:color w:val="000000"/>
          <w:sz w:val="22"/>
          <w:szCs w:val="22"/>
          <w:lang w:val="es-CR"/>
        </w:rPr>
        <w:t>TAT</w:t>
      </w:r>
      <w:proofErr w:type="spellEnd"/>
      <w:r w:rsidRPr="009B4163">
        <w:rPr>
          <w:color w:val="000000"/>
          <w:sz w:val="22"/>
          <w:szCs w:val="22"/>
          <w:lang w:val="es-CR"/>
        </w:rPr>
        <w:t>-21-16)</w:t>
      </w:r>
    </w:p>
    <w:p w:rsidR="00FF6014" w:rsidRPr="009B4163" w:rsidRDefault="00FF6014" w:rsidP="003B474A">
      <w:pPr>
        <w:pStyle w:val="Style9"/>
        <w:numPr>
          <w:ilvl w:val="0"/>
          <w:numId w:val="4"/>
        </w:numPr>
        <w:tabs>
          <w:tab w:val="left" w:pos="284"/>
        </w:tabs>
        <w:kinsoku w:val="0"/>
        <w:autoSpaceDE/>
        <w:autoSpaceDN/>
        <w:spacing w:before="0"/>
        <w:ind w:left="0" w:right="0" w:firstLine="0"/>
        <w:rPr>
          <w:color w:val="000000"/>
          <w:sz w:val="22"/>
          <w:szCs w:val="22"/>
          <w:lang w:val="es-CR"/>
        </w:rPr>
      </w:pPr>
      <w:r w:rsidRPr="009B4163">
        <w:rPr>
          <w:color w:val="000000"/>
          <w:sz w:val="22"/>
          <w:szCs w:val="22"/>
          <w:lang w:val="es-CR"/>
        </w:rPr>
        <w:t xml:space="preserve">La Dirección de Asuntos Jurídicos del Consejo de Transporte Público, en su condición de órgano director del procedimiento, en oficio </w:t>
      </w:r>
      <w:proofErr w:type="spellStart"/>
      <w:r w:rsidRPr="009B4163">
        <w:rPr>
          <w:color w:val="000000"/>
          <w:sz w:val="22"/>
          <w:szCs w:val="22"/>
          <w:lang w:val="es-CR"/>
        </w:rPr>
        <w:t>DAJ</w:t>
      </w:r>
      <w:proofErr w:type="spellEnd"/>
      <w:r w:rsidRPr="009B4163">
        <w:rPr>
          <w:color w:val="000000"/>
          <w:sz w:val="22"/>
          <w:szCs w:val="22"/>
          <w:lang w:val="es-CR"/>
        </w:rPr>
        <w:t xml:space="preserve">-2015-000903 del 17 de marzo del dos mil quince, </w:t>
      </w:r>
      <w:r w:rsidR="003D0DE6" w:rsidRPr="009B4163">
        <w:rPr>
          <w:color w:val="000000"/>
          <w:sz w:val="22"/>
          <w:szCs w:val="22"/>
          <w:lang w:val="es-CR"/>
        </w:rPr>
        <w:t xml:space="preserve">efectúa el traslado de cargos a la empresa </w:t>
      </w:r>
      <w:proofErr w:type="spellStart"/>
      <w:r w:rsidR="00A35DD6">
        <w:rPr>
          <w:b/>
          <w:smallCaps/>
          <w:color w:val="000000"/>
          <w:sz w:val="22"/>
          <w:szCs w:val="22"/>
          <w:lang w:val="es-CR"/>
        </w:rPr>
        <w:t>TAH</w:t>
      </w:r>
      <w:proofErr w:type="spellEnd"/>
      <w:r w:rsidR="003D0DE6" w:rsidRPr="009B4163">
        <w:rPr>
          <w:b/>
          <w:smallCaps/>
          <w:color w:val="000000"/>
          <w:sz w:val="22"/>
          <w:szCs w:val="22"/>
          <w:lang w:val="es-CR"/>
        </w:rPr>
        <w:t>.</w:t>
      </w:r>
      <w:r w:rsidR="003D0DE6" w:rsidRPr="009B4163">
        <w:rPr>
          <w:color w:val="000000"/>
          <w:sz w:val="22"/>
          <w:szCs w:val="22"/>
          <w:lang w:val="es-CR"/>
        </w:rPr>
        <w:t xml:space="preserve">, </w:t>
      </w:r>
      <w:r w:rsidR="00B5342F" w:rsidRPr="009B4163">
        <w:rPr>
          <w:color w:val="000000"/>
          <w:sz w:val="22"/>
          <w:szCs w:val="22"/>
          <w:lang w:val="es-CR"/>
        </w:rPr>
        <w:t xml:space="preserve">señala la comparecencia para el </w:t>
      </w:r>
      <w:r w:rsidR="00B5342F" w:rsidRPr="009B4163">
        <w:rPr>
          <w:b/>
          <w:color w:val="000000"/>
          <w:sz w:val="22"/>
          <w:szCs w:val="22"/>
          <w:lang w:val="es-CR"/>
        </w:rPr>
        <w:t>21 de abril del 2015 a las a las 13 horas</w:t>
      </w:r>
      <w:r w:rsidR="00B5342F" w:rsidRPr="009B4163">
        <w:rPr>
          <w:color w:val="000000"/>
          <w:sz w:val="22"/>
          <w:szCs w:val="22"/>
          <w:lang w:val="es-CR"/>
        </w:rPr>
        <w:t xml:space="preserve">; y </w:t>
      </w:r>
      <w:r w:rsidR="003D0DE6" w:rsidRPr="009B4163">
        <w:rPr>
          <w:color w:val="000000"/>
          <w:sz w:val="22"/>
          <w:szCs w:val="22"/>
          <w:lang w:val="es-CR"/>
        </w:rPr>
        <w:t>notifica</w:t>
      </w:r>
      <w:r w:rsidR="00B5342F" w:rsidRPr="009B4163">
        <w:rPr>
          <w:color w:val="000000"/>
          <w:sz w:val="22"/>
          <w:szCs w:val="22"/>
          <w:lang w:val="es-CR"/>
        </w:rPr>
        <w:t xml:space="preserve"> el traslado de cargos </w:t>
      </w:r>
      <w:r w:rsidR="003D0DE6" w:rsidRPr="009B4163">
        <w:rPr>
          <w:color w:val="000000"/>
          <w:sz w:val="22"/>
          <w:szCs w:val="22"/>
          <w:lang w:val="es-CR"/>
        </w:rPr>
        <w:t xml:space="preserve">vía correo electrónico el miércoles 18 de marzo del 2015. (Léanse los folios del 71 al 72 del expediente </w:t>
      </w:r>
      <w:proofErr w:type="spellStart"/>
      <w:r w:rsidR="003D0DE6" w:rsidRPr="009B4163">
        <w:rPr>
          <w:color w:val="000000"/>
          <w:sz w:val="22"/>
          <w:szCs w:val="22"/>
          <w:lang w:val="es-CR"/>
        </w:rPr>
        <w:t>TAT</w:t>
      </w:r>
      <w:proofErr w:type="spellEnd"/>
      <w:r w:rsidR="003D0DE6" w:rsidRPr="009B4163">
        <w:rPr>
          <w:color w:val="000000"/>
          <w:sz w:val="22"/>
          <w:szCs w:val="22"/>
          <w:lang w:val="es-CR"/>
        </w:rPr>
        <w:t>-21-16)</w:t>
      </w:r>
    </w:p>
    <w:p w:rsidR="00913B02" w:rsidRPr="009B4163" w:rsidRDefault="00B5342F" w:rsidP="00913B02">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9B4163">
        <w:rPr>
          <w:color w:val="000000"/>
          <w:sz w:val="22"/>
          <w:szCs w:val="22"/>
          <w:lang w:val="es-CR"/>
        </w:rPr>
        <w:t xml:space="preserve">El </w:t>
      </w:r>
      <w:r w:rsidRPr="009B4163">
        <w:rPr>
          <w:b/>
          <w:color w:val="000000"/>
          <w:sz w:val="22"/>
          <w:szCs w:val="22"/>
          <w:lang w:val="es-CR"/>
        </w:rPr>
        <w:t>21 de abril del 2015</w:t>
      </w:r>
      <w:r w:rsidRPr="009B4163">
        <w:rPr>
          <w:color w:val="000000"/>
          <w:sz w:val="22"/>
          <w:szCs w:val="22"/>
          <w:lang w:val="es-CR"/>
        </w:rPr>
        <w:t xml:space="preserve">, al ser las 13:20 </w:t>
      </w:r>
      <w:proofErr w:type="spellStart"/>
      <w:r w:rsidRPr="009B4163">
        <w:rPr>
          <w:color w:val="000000"/>
          <w:sz w:val="22"/>
          <w:szCs w:val="22"/>
          <w:lang w:val="es-CR"/>
        </w:rPr>
        <w:t>Hrs</w:t>
      </w:r>
      <w:proofErr w:type="spellEnd"/>
      <w:r w:rsidRPr="009B4163">
        <w:rPr>
          <w:color w:val="000000"/>
          <w:sz w:val="22"/>
          <w:szCs w:val="22"/>
          <w:lang w:val="es-CR"/>
        </w:rPr>
        <w:t>., el Órgano Director del Procedimiento levanta el acta de la audiencia, indicando que al no haberse presentado ningún representa</w:t>
      </w:r>
      <w:r w:rsidR="00913B02" w:rsidRPr="009B4163">
        <w:rPr>
          <w:color w:val="000000"/>
          <w:sz w:val="22"/>
          <w:szCs w:val="22"/>
          <w:lang w:val="es-CR"/>
        </w:rPr>
        <w:t>nte</w:t>
      </w:r>
      <w:r w:rsidRPr="009B4163">
        <w:rPr>
          <w:color w:val="000000"/>
          <w:sz w:val="22"/>
          <w:szCs w:val="22"/>
          <w:lang w:val="es-CR"/>
        </w:rPr>
        <w:t xml:space="preserve"> de la empresa</w:t>
      </w:r>
      <w:r w:rsidR="00913B02" w:rsidRPr="009B4163">
        <w:rPr>
          <w:color w:val="000000"/>
          <w:sz w:val="22"/>
          <w:szCs w:val="22"/>
          <w:lang w:val="es-CR"/>
        </w:rPr>
        <w:t xml:space="preserve"> </w:t>
      </w:r>
      <w:proofErr w:type="spellStart"/>
      <w:r w:rsidR="00A35DD6">
        <w:rPr>
          <w:b/>
          <w:smallCaps/>
          <w:color w:val="000000"/>
          <w:sz w:val="22"/>
          <w:szCs w:val="22"/>
          <w:lang w:val="es-CR"/>
        </w:rPr>
        <w:lastRenderedPageBreak/>
        <w:t>TAH</w:t>
      </w:r>
      <w:proofErr w:type="spellEnd"/>
      <w:r w:rsidR="00913B02" w:rsidRPr="009B4163">
        <w:rPr>
          <w:b/>
          <w:smallCaps/>
          <w:color w:val="000000"/>
          <w:sz w:val="22"/>
          <w:szCs w:val="22"/>
          <w:lang w:val="es-CR"/>
        </w:rPr>
        <w:t>.</w:t>
      </w:r>
      <w:r w:rsidR="00913B02" w:rsidRPr="009B4163">
        <w:rPr>
          <w:color w:val="000000"/>
          <w:sz w:val="22"/>
          <w:szCs w:val="22"/>
          <w:lang w:val="es-CR"/>
        </w:rPr>
        <w:t xml:space="preserve">, </w:t>
      </w:r>
      <w:r w:rsidRPr="009B4163">
        <w:rPr>
          <w:color w:val="000000"/>
          <w:sz w:val="22"/>
          <w:szCs w:val="22"/>
          <w:lang w:val="es-CR"/>
        </w:rPr>
        <w:t>la comparecencia no se realiza.</w:t>
      </w:r>
      <w:r w:rsidR="00913B02" w:rsidRPr="009B4163">
        <w:rPr>
          <w:color w:val="000000"/>
          <w:sz w:val="22"/>
          <w:szCs w:val="22"/>
          <w:lang w:val="es-CR"/>
        </w:rPr>
        <w:t xml:space="preserve"> (Léase el folio 69 del expediente </w:t>
      </w:r>
      <w:proofErr w:type="spellStart"/>
      <w:r w:rsidR="00913B02" w:rsidRPr="009B4163">
        <w:rPr>
          <w:color w:val="000000"/>
          <w:sz w:val="22"/>
          <w:szCs w:val="22"/>
          <w:lang w:val="es-CR"/>
        </w:rPr>
        <w:t>TAT</w:t>
      </w:r>
      <w:proofErr w:type="spellEnd"/>
      <w:r w:rsidR="00913B02" w:rsidRPr="009B4163">
        <w:rPr>
          <w:color w:val="000000"/>
          <w:sz w:val="22"/>
          <w:szCs w:val="22"/>
          <w:lang w:val="es-CR"/>
        </w:rPr>
        <w:t>-21-16)</w:t>
      </w:r>
    </w:p>
    <w:p w:rsidR="00913B02" w:rsidRPr="009B4163" w:rsidRDefault="00913B02" w:rsidP="00913B02">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9B4163">
        <w:rPr>
          <w:color w:val="000000"/>
          <w:sz w:val="22"/>
          <w:szCs w:val="22"/>
          <w:lang w:val="es-CR"/>
        </w:rPr>
        <w:t xml:space="preserve">El </w:t>
      </w:r>
      <w:r w:rsidRPr="009B4163">
        <w:rPr>
          <w:b/>
          <w:color w:val="000000"/>
          <w:sz w:val="22"/>
          <w:szCs w:val="22"/>
          <w:lang w:val="es-CR"/>
        </w:rPr>
        <w:t>17 de junio del 2015</w:t>
      </w:r>
      <w:r w:rsidRPr="009B4163">
        <w:rPr>
          <w:color w:val="000000"/>
          <w:sz w:val="22"/>
          <w:szCs w:val="22"/>
          <w:lang w:val="es-CR"/>
        </w:rPr>
        <w:t xml:space="preserve">, la Dirección de Asuntos Jurídicos del Consejo de Transporte Público, emite el su informe final con recomendaciones a la Junta Directiva del Consejo, bajo el oficio número 2015-002044. (Léanse los folios 52 a 53 del expediente </w:t>
      </w:r>
      <w:proofErr w:type="spellStart"/>
      <w:r w:rsidRPr="009B4163">
        <w:rPr>
          <w:color w:val="000000"/>
          <w:sz w:val="22"/>
          <w:szCs w:val="22"/>
          <w:lang w:val="es-CR"/>
        </w:rPr>
        <w:t>TAT</w:t>
      </w:r>
      <w:proofErr w:type="spellEnd"/>
      <w:r w:rsidRPr="009B4163">
        <w:rPr>
          <w:color w:val="000000"/>
          <w:sz w:val="22"/>
          <w:szCs w:val="22"/>
          <w:lang w:val="es-CR"/>
        </w:rPr>
        <w:t>-21-16)</w:t>
      </w:r>
    </w:p>
    <w:p w:rsidR="003B474A" w:rsidRPr="009B4163" w:rsidRDefault="00FD636B" w:rsidP="00A536AE">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9B4163">
        <w:rPr>
          <w:color w:val="000000"/>
          <w:sz w:val="22"/>
          <w:szCs w:val="22"/>
          <w:lang w:val="es-CR"/>
        </w:rPr>
        <w:t xml:space="preserve">La Junta Directiva del Consejo de Transporte Público en el </w:t>
      </w:r>
      <w:r w:rsidRPr="009B4163">
        <w:rPr>
          <w:b/>
          <w:color w:val="000000"/>
          <w:sz w:val="22"/>
          <w:szCs w:val="22"/>
          <w:lang w:val="es-CR"/>
        </w:rPr>
        <w:t>Artículo 7.6 de la Sesión Ordinaria 36-2015 del 24 de junio del 2015</w:t>
      </w:r>
      <w:r w:rsidRPr="009B4163">
        <w:rPr>
          <w:color w:val="000000"/>
          <w:sz w:val="22"/>
          <w:szCs w:val="22"/>
          <w:lang w:val="es-CR"/>
        </w:rPr>
        <w:t xml:space="preserve"> dispuso cancelar el permiso de la </w:t>
      </w:r>
      <w:r w:rsidR="00306070">
        <w:rPr>
          <w:color w:val="000000"/>
          <w:sz w:val="22"/>
          <w:szCs w:val="22"/>
          <w:lang w:val="es-CR"/>
        </w:rPr>
        <w:t>Ruta 00</w:t>
      </w:r>
      <w:r w:rsidRPr="009B4163">
        <w:rPr>
          <w:color w:val="000000"/>
          <w:sz w:val="22"/>
          <w:szCs w:val="22"/>
          <w:lang w:val="es-CR"/>
        </w:rPr>
        <w:t xml:space="preserve"> a la empresa </w:t>
      </w:r>
      <w:proofErr w:type="spellStart"/>
      <w:r w:rsidR="00A35DD6">
        <w:rPr>
          <w:b/>
          <w:smallCaps/>
          <w:color w:val="000000"/>
          <w:sz w:val="22"/>
          <w:szCs w:val="22"/>
          <w:lang w:val="es-CR"/>
        </w:rPr>
        <w:t>TAH</w:t>
      </w:r>
      <w:proofErr w:type="spellEnd"/>
      <w:r w:rsidRPr="009B4163">
        <w:rPr>
          <w:smallCaps/>
          <w:color w:val="000000"/>
          <w:sz w:val="22"/>
          <w:szCs w:val="22"/>
          <w:lang w:val="es-CR"/>
        </w:rPr>
        <w:t>.</w:t>
      </w:r>
      <w:r w:rsidRPr="009B4163">
        <w:rPr>
          <w:color w:val="000000"/>
          <w:sz w:val="22"/>
          <w:szCs w:val="22"/>
          <w:lang w:val="es-CR"/>
        </w:rPr>
        <w:t>, como permisionaria de la</w:t>
      </w:r>
      <w:r w:rsidR="00F65FED" w:rsidRPr="009B4163">
        <w:rPr>
          <w:color w:val="000000"/>
          <w:sz w:val="22"/>
          <w:szCs w:val="22"/>
          <w:lang w:val="es-CR"/>
        </w:rPr>
        <w:t xml:space="preserve"> </w:t>
      </w:r>
      <w:r w:rsidR="00306070">
        <w:rPr>
          <w:color w:val="000000"/>
          <w:sz w:val="22"/>
          <w:szCs w:val="22"/>
          <w:lang w:val="es-CR"/>
        </w:rPr>
        <w:t>Ruta 00</w:t>
      </w:r>
      <w:r w:rsidR="00F65FED" w:rsidRPr="009B4163">
        <w:rPr>
          <w:color w:val="000000"/>
          <w:sz w:val="22"/>
          <w:szCs w:val="22"/>
          <w:lang w:val="es-CR"/>
        </w:rPr>
        <w:t xml:space="preserve"> descrita como </w:t>
      </w:r>
      <w:proofErr w:type="spellStart"/>
      <w:r w:rsidR="00F65FED" w:rsidRPr="009B4163">
        <w:rPr>
          <w:color w:val="000000"/>
          <w:sz w:val="22"/>
          <w:szCs w:val="22"/>
          <w:lang w:val="es-CR"/>
        </w:rPr>
        <w:t>Orotina</w:t>
      </w:r>
      <w:proofErr w:type="spellEnd"/>
      <w:r w:rsidR="00F65FED" w:rsidRPr="009B4163">
        <w:rPr>
          <w:color w:val="000000"/>
          <w:sz w:val="22"/>
          <w:szCs w:val="22"/>
          <w:lang w:val="es-CR"/>
        </w:rPr>
        <w:t xml:space="preserve">-San Mateo-Labrador y viceversa, por incumplir con su </w:t>
      </w:r>
      <w:r w:rsidR="00913B02" w:rsidRPr="009B4163">
        <w:rPr>
          <w:color w:val="000000"/>
          <w:sz w:val="22"/>
          <w:szCs w:val="22"/>
          <w:lang w:val="es-CR"/>
        </w:rPr>
        <w:t>deber</w:t>
      </w:r>
      <w:r w:rsidR="00F65FED" w:rsidRPr="009B4163">
        <w:rPr>
          <w:color w:val="000000"/>
          <w:sz w:val="22"/>
          <w:szCs w:val="22"/>
          <w:lang w:val="es-CR"/>
        </w:rPr>
        <w:t xml:space="preserve"> de estar al día con sus obligaciones patronales con la Caja Costarricense de Seguro Social; acuerdo notificado el 15 de julio de 2015. (Léase el folio 50</w:t>
      </w:r>
      <w:r w:rsidR="00F2590A" w:rsidRPr="009B4163">
        <w:rPr>
          <w:color w:val="000000"/>
          <w:sz w:val="22"/>
          <w:szCs w:val="22"/>
          <w:lang w:val="es-CR"/>
        </w:rPr>
        <w:t xml:space="preserve"> del expediente </w:t>
      </w:r>
      <w:proofErr w:type="spellStart"/>
      <w:r w:rsidR="00F2590A" w:rsidRPr="009B4163">
        <w:rPr>
          <w:color w:val="000000"/>
          <w:sz w:val="22"/>
          <w:szCs w:val="22"/>
          <w:lang w:val="es-CR"/>
        </w:rPr>
        <w:t>TAT</w:t>
      </w:r>
      <w:proofErr w:type="spellEnd"/>
      <w:r w:rsidR="00F2590A" w:rsidRPr="009B4163">
        <w:rPr>
          <w:color w:val="000000"/>
          <w:sz w:val="22"/>
          <w:szCs w:val="22"/>
          <w:lang w:val="es-CR"/>
        </w:rPr>
        <w:t>-21-16)</w:t>
      </w:r>
    </w:p>
    <w:p w:rsidR="00F2590A" w:rsidRPr="009B4163" w:rsidRDefault="0097136B" w:rsidP="00A536AE">
      <w:pPr>
        <w:pStyle w:val="Style9"/>
        <w:numPr>
          <w:ilvl w:val="0"/>
          <w:numId w:val="4"/>
        </w:numPr>
        <w:tabs>
          <w:tab w:val="left" w:pos="284"/>
        </w:tabs>
        <w:kinsoku w:val="0"/>
        <w:autoSpaceDE/>
        <w:autoSpaceDN/>
        <w:spacing w:before="0"/>
        <w:ind w:left="0" w:right="0" w:firstLine="0"/>
        <w:rPr>
          <w:smallCaps/>
          <w:color w:val="000000"/>
          <w:sz w:val="22"/>
          <w:szCs w:val="22"/>
          <w:lang w:val="es-CR"/>
        </w:rPr>
      </w:pPr>
      <w:r w:rsidRPr="009B4163">
        <w:rPr>
          <w:color w:val="000000"/>
          <w:sz w:val="22"/>
          <w:szCs w:val="22"/>
          <w:lang w:val="es-CR"/>
        </w:rPr>
        <w:t xml:space="preserve">La empresa </w:t>
      </w:r>
      <w:proofErr w:type="spellStart"/>
      <w:r w:rsidR="00A35DD6">
        <w:rPr>
          <w:b/>
          <w:smallCaps/>
          <w:color w:val="000000"/>
          <w:sz w:val="22"/>
          <w:szCs w:val="22"/>
          <w:lang w:val="es-CR"/>
        </w:rPr>
        <w:t>TAH</w:t>
      </w:r>
      <w:proofErr w:type="spellEnd"/>
      <w:r w:rsidR="00F2590A" w:rsidRPr="009B4163">
        <w:rPr>
          <w:smallCaps/>
          <w:color w:val="000000"/>
          <w:sz w:val="22"/>
          <w:szCs w:val="22"/>
          <w:lang w:val="es-CR"/>
        </w:rPr>
        <w:t>.</w:t>
      </w:r>
      <w:r w:rsidRPr="009B4163">
        <w:rPr>
          <w:color w:val="000000"/>
          <w:sz w:val="22"/>
          <w:szCs w:val="22"/>
          <w:lang w:val="es-CR"/>
        </w:rPr>
        <w:t>,</w:t>
      </w:r>
      <w:r w:rsidRPr="009B4163">
        <w:rPr>
          <w:b/>
          <w:color w:val="000000"/>
          <w:sz w:val="22"/>
          <w:szCs w:val="22"/>
          <w:lang w:val="es-CR"/>
        </w:rPr>
        <w:t xml:space="preserve"> </w:t>
      </w:r>
      <w:r w:rsidRPr="009B4163">
        <w:rPr>
          <w:color w:val="000000"/>
          <w:sz w:val="22"/>
          <w:szCs w:val="22"/>
          <w:lang w:val="es-CR"/>
        </w:rPr>
        <w:t xml:space="preserve">presenta </w:t>
      </w:r>
      <w:r w:rsidR="00F2590A" w:rsidRPr="009B4163">
        <w:rPr>
          <w:color w:val="000000"/>
          <w:sz w:val="22"/>
          <w:szCs w:val="22"/>
          <w:lang w:val="es-CR"/>
        </w:rPr>
        <w:t xml:space="preserve">el </w:t>
      </w:r>
      <w:r w:rsidR="00F2590A" w:rsidRPr="009B4163">
        <w:rPr>
          <w:b/>
          <w:color w:val="000000"/>
          <w:sz w:val="22"/>
          <w:szCs w:val="22"/>
          <w:lang w:val="es-CR"/>
        </w:rPr>
        <w:t>20 de julio del 2015</w:t>
      </w:r>
      <w:r w:rsidR="00F2590A" w:rsidRPr="009B4163">
        <w:rPr>
          <w:color w:val="000000"/>
          <w:sz w:val="22"/>
          <w:szCs w:val="22"/>
          <w:lang w:val="es-CR"/>
        </w:rPr>
        <w:t xml:space="preserve">, </w:t>
      </w:r>
      <w:r w:rsidRPr="009B4163">
        <w:rPr>
          <w:color w:val="000000"/>
          <w:sz w:val="22"/>
          <w:szCs w:val="22"/>
          <w:lang w:val="es-CR"/>
        </w:rPr>
        <w:t xml:space="preserve">ante la Plataforma de Servicios del Consejo de Transporte Público, </w:t>
      </w:r>
      <w:r w:rsidR="00F2590A" w:rsidRPr="009B4163">
        <w:rPr>
          <w:color w:val="000000"/>
          <w:sz w:val="22"/>
          <w:szCs w:val="22"/>
          <w:lang w:val="es-CR"/>
        </w:rPr>
        <w:t xml:space="preserve">Recurso de Revocatoria con apelación en subsidio y nulidad concomitante, en contra del </w:t>
      </w:r>
      <w:r w:rsidR="00F2590A" w:rsidRPr="009B4163">
        <w:rPr>
          <w:b/>
          <w:color w:val="000000"/>
          <w:sz w:val="22"/>
          <w:szCs w:val="22"/>
          <w:lang w:val="es-CR"/>
        </w:rPr>
        <w:t>Artículo 7.6 de la Sesión Ordinaria 36-2015 del 24 de junio del 2015</w:t>
      </w:r>
      <w:r w:rsidR="00F2590A" w:rsidRPr="009B4163">
        <w:rPr>
          <w:color w:val="000000"/>
          <w:sz w:val="22"/>
          <w:szCs w:val="22"/>
          <w:lang w:val="es-CR"/>
        </w:rPr>
        <w:t xml:space="preserve">, alegando, en resumen, que </w:t>
      </w:r>
      <w:r w:rsidR="00F2590A" w:rsidRPr="009B4163">
        <w:rPr>
          <w:b/>
          <w:color w:val="000000"/>
          <w:sz w:val="22"/>
          <w:szCs w:val="22"/>
          <w:lang w:val="es-CR"/>
        </w:rPr>
        <w:t>1)</w:t>
      </w:r>
      <w:r w:rsidR="00F2590A" w:rsidRPr="009B4163">
        <w:rPr>
          <w:color w:val="000000"/>
          <w:sz w:val="22"/>
          <w:szCs w:val="22"/>
        </w:rPr>
        <w:t xml:space="preserve"> T</w:t>
      </w:r>
      <w:proofErr w:type="spellStart"/>
      <w:r w:rsidR="00F2590A" w:rsidRPr="009B4163">
        <w:rPr>
          <w:color w:val="000000"/>
          <w:sz w:val="22"/>
          <w:szCs w:val="22"/>
          <w:lang w:val="es-CR"/>
        </w:rPr>
        <w:t>iene</w:t>
      </w:r>
      <w:proofErr w:type="spellEnd"/>
      <w:r w:rsidR="00F2590A" w:rsidRPr="009B4163">
        <w:rPr>
          <w:color w:val="000000"/>
          <w:sz w:val="22"/>
          <w:szCs w:val="22"/>
          <w:lang w:val="es-CR"/>
        </w:rPr>
        <w:t xml:space="preserve"> de treinta y cinco años consecutivos de brindar el servicio en las rutas 263 y 263 A.</w:t>
      </w:r>
      <w:r w:rsidR="00F2590A" w:rsidRPr="009B4163">
        <w:rPr>
          <w:color w:val="000000"/>
          <w:sz w:val="22"/>
          <w:szCs w:val="22"/>
        </w:rPr>
        <w:t xml:space="preserve"> </w:t>
      </w:r>
      <w:r w:rsidR="00F2590A" w:rsidRPr="009B4163">
        <w:rPr>
          <w:b/>
          <w:color w:val="000000"/>
          <w:sz w:val="22"/>
          <w:szCs w:val="22"/>
        </w:rPr>
        <w:t xml:space="preserve">2) </w:t>
      </w:r>
      <w:r w:rsidR="00F2590A" w:rsidRPr="009B4163">
        <w:rPr>
          <w:color w:val="000000"/>
          <w:sz w:val="22"/>
          <w:szCs w:val="22"/>
        </w:rPr>
        <w:t>P</w:t>
      </w:r>
      <w:proofErr w:type="spellStart"/>
      <w:r w:rsidR="00F2590A" w:rsidRPr="009B4163">
        <w:rPr>
          <w:color w:val="000000"/>
          <w:sz w:val="22"/>
          <w:szCs w:val="22"/>
          <w:lang w:val="es-CR"/>
        </w:rPr>
        <w:t>articipó</w:t>
      </w:r>
      <w:proofErr w:type="spellEnd"/>
      <w:r w:rsidR="00F2590A" w:rsidRPr="009B4163">
        <w:rPr>
          <w:color w:val="000000"/>
          <w:sz w:val="22"/>
          <w:szCs w:val="22"/>
          <w:lang w:val="es-CR"/>
        </w:rPr>
        <w:t xml:space="preserve"> en el proceso</w:t>
      </w:r>
      <w:r w:rsidR="00F2590A" w:rsidRPr="003B474A">
        <w:rPr>
          <w:color w:val="000000"/>
          <w:sz w:val="22"/>
          <w:szCs w:val="22"/>
          <w:lang w:val="es-CR"/>
        </w:rPr>
        <w:t xml:space="preserve"> abreviado de permisionario a concesionario, y se les otorgó la concesión en el Artículo 8.1 de la Sesión Ordinaria 20-2015 del 27 de mayo del 2015.</w:t>
      </w:r>
      <w:r w:rsidR="00F2590A" w:rsidRPr="003B474A">
        <w:rPr>
          <w:color w:val="000000"/>
          <w:sz w:val="22"/>
          <w:szCs w:val="22"/>
        </w:rPr>
        <w:t xml:space="preserve"> </w:t>
      </w:r>
      <w:r w:rsidR="00F2590A" w:rsidRPr="003B474A">
        <w:rPr>
          <w:b/>
          <w:color w:val="000000"/>
          <w:sz w:val="22"/>
          <w:szCs w:val="22"/>
        </w:rPr>
        <w:t xml:space="preserve">3) </w:t>
      </w:r>
      <w:r w:rsidR="00F2590A" w:rsidRPr="003B474A">
        <w:rPr>
          <w:color w:val="000000"/>
          <w:sz w:val="22"/>
          <w:szCs w:val="22"/>
          <w:lang w:val="es-CR"/>
        </w:rPr>
        <w:t>indica que no se presentaron a la audiencia, porque el mensaje nunca ingresó a su bandeja de correos en la cuenta de Hotmail, pero no se puede interpretar que se haya irrespetado al Consejo, que haya falta de interés por las notificaciones.</w:t>
      </w:r>
      <w:r w:rsidR="00F2590A" w:rsidRPr="003B474A">
        <w:rPr>
          <w:color w:val="000000"/>
          <w:sz w:val="22"/>
          <w:szCs w:val="22"/>
        </w:rPr>
        <w:t xml:space="preserve"> </w:t>
      </w:r>
      <w:r w:rsidR="00F2590A" w:rsidRPr="003B474A">
        <w:rPr>
          <w:b/>
          <w:color w:val="000000"/>
          <w:sz w:val="22"/>
          <w:szCs w:val="22"/>
        </w:rPr>
        <w:t xml:space="preserve">4) </w:t>
      </w:r>
      <w:r w:rsidR="00F2590A" w:rsidRPr="003B474A">
        <w:rPr>
          <w:color w:val="000000"/>
          <w:sz w:val="22"/>
          <w:szCs w:val="22"/>
          <w:lang w:val="es-CR"/>
        </w:rPr>
        <w:t xml:space="preserve">Que al recibir el apercibimiento del 11 de mayo del 2015, en el cual se les indicaba que tenían hasta el 13 de mayo del 2015, para estar al día con sus obligaciones; aportaron en Ventanilla Única la constancia de N° 130400056485-749252 el 13 de mayo del 2015, emitida por la </w:t>
      </w:r>
      <w:proofErr w:type="spellStart"/>
      <w:r w:rsidR="00F2590A" w:rsidRPr="003B474A">
        <w:rPr>
          <w:color w:val="000000"/>
          <w:sz w:val="22"/>
          <w:szCs w:val="22"/>
          <w:lang w:val="es-CR"/>
        </w:rPr>
        <w:t>CCSS</w:t>
      </w:r>
      <w:proofErr w:type="spellEnd"/>
      <w:r w:rsidR="00F2590A" w:rsidRPr="003B474A">
        <w:rPr>
          <w:color w:val="000000"/>
          <w:sz w:val="22"/>
          <w:szCs w:val="22"/>
          <w:lang w:val="es-CR"/>
        </w:rPr>
        <w:t>, en la cual consta que se encuentra al día con el pago de sus obligaciones.</w:t>
      </w:r>
      <w:r w:rsidR="00F2590A" w:rsidRPr="003B474A">
        <w:rPr>
          <w:color w:val="000000"/>
          <w:sz w:val="22"/>
          <w:szCs w:val="22"/>
        </w:rPr>
        <w:t xml:space="preserve"> </w:t>
      </w:r>
      <w:r w:rsidR="00A536AE" w:rsidRPr="003B474A">
        <w:rPr>
          <w:b/>
          <w:color w:val="000000"/>
          <w:sz w:val="22"/>
          <w:szCs w:val="22"/>
        </w:rPr>
        <w:t>5)</w:t>
      </w:r>
      <w:r w:rsidR="00F2590A" w:rsidRPr="003B474A">
        <w:rPr>
          <w:b/>
          <w:color w:val="000000"/>
          <w:sz w:val="22"/>
          <w:szCs w:val="22"/>
        </w:rPr>
        <w:t xml:space="preserve"> </w:t>
      </w:r>
      <w:r w:rsidR="00F2590A" w:rsidRPr="003B474A">
        <w:rPr>
          <w:color w:val="000000"/>
          <w:sz w:val="22"/>
          <w:szCs w:val="22"/>
          <w:lang w:val="es-CR"/>
        </w:rPr>
        <w:t xml:space="preserve">Expresa que en virtud de que el acuerdo impugnado hace referencia al incumpliendo con la </w:t>
      </w:r>
      <w:proofErr w:type="spellStart"/>
      <w:r w:rsidR="00F2590A" w:rsidRPr="003B474A">
        <w:rPr>
          <w:color w:val="000000"/>
          <w:sz w:val="22"/>
          <w:szCs w:val="22"/>
          <w:lang w:val="es-CR"/>
        </w:rPr>
        <w:t>CCSS</w:t>
      </w:r>
      <w:proofErr w:type="spellEnd"/>
      <w:r w:rsidR="00F2590A" w:rsidRPr="003B474A">
        <w:rPr>
          <w:color w:val="000000"/>
          <w:sz w:val="22"/>
          <w:szCs w:val="22"/>
          <w:lang w:val="es-CR"/>
        </w:rPr>
        <w:t xml:space="preserve">, y la empresa ya se encuentra al </w:t>
      </w:r>
      <w:r w:rsidR="00F2590A" w:rsidRPr="009B4163">
        <w:rPr>
          <w:color w:val="000000"/>
          <w:sz w:val="22"/>
          <w:szCs w:val="22"/>
          <w:lang w:val="es-CR"/>
        </w:rPr>
        <w:t>día hasta el 18 de agosto del 2015, se estaría transgrediendo el artículo 133 inciso 1 de la Ley General de la Administración Pública, en cuanto a la motivación.</w:t>
      </w:r>
      <w:r w:rsidR="00F2590A" w:rsidRPr="009B4163">
        <w:rPr>
          <w:color w:val="000000"/>
          <w:sz w:val="22"/>
          <w:szCs w:val="22"/>
        </w:rPr>
        <w:t xml:space="preserve"> </w:t>
      </w:r>
      <w:r w:rsidR="00A536AE" w:rsidRPr="009B4163">
        <w:rPr>
          <w:b/>
          <w:color w:val="000000"/>
          <w:sz w:val="22"/>
          <w:szCs w:val="22"/>
        </w:rPr>
        <w:t>6</w:t>
      </w:r>
      <w:r w:rsidR="00F2590A" w:rsidRPr="009B4163">
        <w:rPr>
          <w:b/>
          <w:color w:val="000000"/>
          <w:sz w:val="22"/>
          <w:szCs w:val="22"/>
        </w:rPr>
        <w:t xml:space="preserve">) </w:t>
      </w:r>
      <w:r w:rsidR="00F2590A" w:rsidRPr="009B4163">
        <w:rPr>
          <w:color w:val="000000"/>
          <w:sz w:val="22"/>
          <w:szCs w:val="22"/>
          <w:lang w:val="es-CR"/>
        </w:rPr>
        <w:t>Solicita, haciendo voto de clemencia, que se declare con lugar el recurso; y que se dé respuesta clara, explícita y puntual a cada uno de sus argumentos.</w:t>
      </w:r>
    </w:p>
    <w:p w:rsidR="0097136B" w:rsidRPr="009B4163" w:rsidRDefault="0097136B" w:rsidP="0097136B">
      <w:pPr>
        <w:pStyle w:val="Style9"/>
        <w:numPr>
          <w:ilvl w:val="0"/>
          <w:numId w:val="4"/>
        </w:numPr>
        <w:tabs>
          <w:tab w:val="left" w:pos="0"/>
          <w:tab w:val="left" w:pos="426"/>
        </w:tabs>
        <w:kinsoku w:val="0"/>
        <w:autoSpaceDE/>
        <w:autoSpaceDN/>
        <w:spacing w:before="0"/>
        <w:ind w:left="0" w:right="0" w:firstLine="0"/>
        <w:rPr>
          <w:color w:val="000000"/>
          <w:sz w:val="22"/>
          <w:szCs w:val="22"/>
          <w:lang w:val="es-CR"/>
        </w:rPr>
      </w:pPr>
      <w:r w:rsidRPr="009B4163">
        <w:rPr>
          <w:color w:val="000000"/>
          <w:sz w:val="22"/>
          <w:szCs w:val="22"/>
          <w:lang w:val="es-CR"/>
        </w:rPr>
        <w:t xml:space="preserve">La Junta Directiva del Consejo de Transporte Público, en el Artículo </w:t>
      </w:r>
      <w:r w:rsidR="00B26B59" w:rsidRPr="009B4163">
        <w:rPr>
          <w:color w:val="000000"/>
          <w:sz w:val="22"/>
          <w:szCs w:val="22"/>
          <w:lang w:val="es-CR"/>
        </w:rPr>
        <w:t>7.7</w:t>
      </w:r>
      <w:r w:rsidRPr="009B4163">
        <w:rPr>
          <w:color w:val="000000"/>
          <w:sz w:val="22"/>
          <w:szCs w:val="22"/>
          <w:lang w:val="es-CR"/>
        </w:rPr>
        <w:t xml:space="preserve"> de la Sesión Ordinaria </w:t>
      </w:r>
      <w:r w:rsidR="003B474A" w:rsidRPr="009B4163">
        <w:rPr>
          <w:color w:val="000000"/>
          <w:sz w:val="22"/>
          <w:szCs w:val="22"/>
          <w:lang w:val="es-CR"/>
        </w:rPr>
        <w:t>12</w:t>
      </w:r>
      <w:r w:rsidRPr="009B4163">
        <w:rPr>
          <w:color w:val="000000"/>
          <w:sz w:val="22"/>
          <w:szCs w:val="22"/>
          <w:lang w:val="es-CR"/>
        </w:rPr>
        <w:t>-2016, celebrada el 1</w:t>
      </w:r>
      <w:r w:rsidR="003B474A" w:rsidRPr="009B4163">
        <w:rPr>
          <w:color w:val="000000"/>
          <w:sz w:val="22"/>
          <w:szCs w:val="22"/>
          <w:lang w:val="es-CR"/>
        </w:rPr>
        <w:t>0</w:t>
      </w:r>
      <w:r w:rsidRPr="009B4163">
        <w:rPr>
          <w:color w:val="000000"/>
          <w:sz w:val="22"/>
          <w:szCs w:val="22"/>
          <w:lang w:val="es-CR"/>
        </w:rPr>
        <w:t xml:space="preserve"> de </w:t>
      </w:r>
      <w:r w:rsidR="003B474A" w:rsidRPr="009B4163">
        <w:rPr>
          <w:color w:val="000000"/>
          <w:sz w:val="22"/>
          <w:szCs w:val="22"/>
          <w:lang w:val="es-CR"/>
        </w:rPr>
        <w:t>marzo</w:t>
      </w:r>
      <w:r w:rsidRPr="009B4163">
        <w:rPr>
          <w:color w:val="000000"/>
          <w:sz w:val="22"/>
          <w:szCs w:val="22"/>
          <w:lang w:val="es-CR"/>
        </w:rPr>
        <w:t xml:space="preserve"> del 2016, </w:t>
      </w:r>
      <w:r w:rsidR="00913B02" w:rsidRPr="009B4163">
        <w:rPr>
          <w:color w:val="000000"/>
          <w:sz w:val="22"/>
          <w:szCs w:val="22"/>
          <w:lang w:val="es-CR"/>
        </w:rPr>
        <w:t xml:space="preserve">al conocer el informe </w:t>
      </w:r>
      <w:proofErr w:type="spellStart"/>
      <w:r w:rsidR="00913B02" w:rsidRPr="009B4163">
        <w:rPr>
          <w:color w:val="000000"/>
          <w:sz w:val="22"/>
          <w:szCs w:val="22"/>
          <w:lang w:val="es-CR"/>
        </w:rPr>
        <w:t>DAJ</w:t>
      </w:r>
      <w:proofErr w:type="spellEnd"/>
      <w:r w:rsidR="00913B02" w:rsidRPr="009B4163">
        <w:rPr>
          <w:color w:val="000000"/>
          <w:sz w:val="22"/>
          <w:szCs w:val="22"/>
          <w:lang w:val="es-CR"/>
        </w:rPr>
        <w:t xml:space="preserve">-2015-003882 del 10 de noviembre del 2015, emitido por la Dirección de Asuntos Jurídicos, dispuso acoger las recomendaciones allí emitidas y resuelve rechazar el recurso de revocatoria y nulidad presentada, y elevar el recurso de apelación al Tribunal Administrativo de Transporte. </w:t>
      </w:r>
    </w:p>
    <w:p w:rsidR="00297208" w:rsidRDefault="00297208" w:rsidP="00297208">
      <w:pPr>
        <w:pStyle w:val="Style1"/>
        <w:kinsoku w:val="0"/>
        <w:overflowPunct w:val="0"/>
        <w:autoSpaceDE/>
        <w:autoSpaceDN/>
        <w:adjustRightInd/>
        <w:spacing w:line="276" w:lineRule="auto"/>
        <w:jc w:val="both"/>
        <w:textAlignment w:val="baseline"/>
        <w:rPr>
          <w:b/>
          <w:color w:val="000000"/>
          <w:lang w:val="es-CR"/>
        </w:rPr>
      </w:pPr>
    </w:p>
    <w:p w:rsidR="00CA3294" w:rsidRDefault="00CA3294" w:rsidP="00297208">
      <w:pPr>
        <w:pStyle w:val="Style1"/>
        <w:kinsoku w:val="0"/>
        <w:overflowPunct w:val="0"/>
        <w:autoSpaceDE/>
        <w:autoSpaceDN/>
        <w:adjustRightInd/>
        <w:spacing w:line="276" w:lineRule="auto"/>
        <w:jc w:val="both"/>
        <w:textAlignment w:val="baseline"/>
        <w:rPr>
          <w:b/>
          <w:color w:val="000000"/>
          <w:lang w:val="es-CR"/>
        </w:rPr>
      </w:pPr>
    </w:p>
    <w:p w:rsidR="00297208" w:rsidRDefault="00297208" w:rsidP="00297208">
      <w:pPr>
        <w:pStyle w:val="Style1"/>
        <w:kinsoku w:val="0"/>
        <w:overflowPunct w:val="0"/>
        <w:autoSpaceDE/>
        <w:autoSpaceDN/>
        <w:adjustRightInd/>
        <w:spacing w:line="276" w:lineRule="auto"/>
        <w:jc w:val="both"/>
        <w:textAlignment w:val="baseline"/>
        <w:rPr>
          <w:color w:val="000000"/>
          <w:lang w:val="es-CR"/>
        </w:rPr>
      </w:pPr>
      <w:r w:rsidRPr="00297208">
        <w:rPr>
          <w:b/>
          <w:color w:val="000000"/>
          <w:lang w:val="es-CR"/>
        </w:rPr>
        <w:t xml:space="preserve">4.- HECHOS NO PROBADOS. – </w:t>
      </w:r>
      <w:r w:rsidRPr="00297208">
        <w:rPr>
          <w:color w:val="000000"/>
          <w:lang w:val="es-CR"/>
        </w:rPr>
        <w:t>Ninguno de importancia para la decisión de este asunto.</w:t>
      </w:r>
    </w:p>
    <w:p w:rsidR="00297208" w:rsidRDefault="00297208" w:rsidP="00297208">
      <w:pPr>
        <w:pStyle w:val="Style1"/>
        <w:kinsoku w:val="0"/>
        <w:overflowPunct w:val="0"/>
        <w:autoSpaceDE/>
        <w:autoSpaceDN/>
        <w:adjustRightInd/>
        <w:spacing w:line="276" w:lineRule="auto"/>
        <w:jc w:val="both"/>
        <w:textAlignment w:val="baseline"/>
        <w:rPr>
          <w:b/>
          <w:color w:val="000000"/>
          <w:lang w:val="es-CR"/>
        </w:rPr>
      </w:pPr>
    </w:p>
    <w:p w:rsidR="00CA3294" w:rsidRPr="00297208" w:rsidRDefault="00CA3294" w:rsidP="00297208">
      <w:pPr>
        <w:pStyle w:val="Style1"/>
        <w:kinsoku w:val="0"/>
        <w:overflowPunct w:val="0"/>
        <w:autoSpaceDE/>
        <w:autoSpaceDN/>
        <w:adjustRightInd/>
        <w:spacing w:line="276" w:lineRule="auto"/>
        <w:jc w:val="both"/>
        <w:textAlignment w:val="baseline"/>
        <w:rPr>
          <w:b/>
          <w:color w:val="000000"/>
          <w:lang w:val="es-CR"/>
        </w:rPr>
      </w:pPr>
    </w:p>
    <w:p w:rsidR="00993959" w:rsidRPr="00324A3F" w:rsidRDefault="00297208" w:rsidP="00324A3F">
      <w:pPr>
        <w:pStyle w:val="Style1"/>
        <w:kinsoku w:val="0"/>
        <w:overflowPunct w:val="0"/>
        <w:autoSpaceDE/>
        <w:autoSpaceDN/>
        <w:adjustRightInd/>
        <w:spacing w:line="276" w:lineRule="auto"/>
        <w:jc w:val="both"/>
        <w:textAlignment w:val="baseline"/>
        <w:rPr>
          <w:b/>
          <w:color w:val="000000"/>
          <w:lang w:val="es-CR"/>
        </w:rPr>
      </w:pPr>
      <w:r w:rsidRPr="00297208">
        <w:rPr>
          <w:b/>
          <w:color w:val="000000"/>
          <w:lang w:val="es-CR"/>
        </w:rPr>
        <w:t>5.- SOBRE EL FONDO.</w:t>
      </w:r>
      <w:r>
        <w:rPr>
          <w:b/>
          <w:color w:val="000000"/>
          <w:lang w:val="es-CR"/>
        </w:rPr>
        <w:t xml:space="preserve">- </w:t>
      </w:r>
      <w:r w:rsidRPr="00297208">
        <w:rPr>
          <w:b/>
          <w:color w:val="000000"/>
          <w:lang w:val="es-CR"/>
        </w:rPr>
        <w:t xml:space="preserve"> </w:t>
      </w:r>
      <w:r w:rsidR="00324A3F" w:rsidRPr="00324A3F">
        <w:rPr>
          <w:color w:val="000000"/>
          <w:lang w:val="es-CR"/>
        </w:rPr>
        <w:t>E</w:t>
      </w:r>
      <w:r w:rsidR="00BB3756" w:rsidRPr="00FD636B">
        <w:rPr>
          <w:iCs/>
          <w:color w:val="000000"/>
          <w:lang w:val="es-CR"/>
        </w:rPr>
        <w:t>ntre las obligaciones que todo permisionario d</w:t>
      </w:r>
      <w:r w:rsidR="006F7A66" w:rsidRPr="00FD636B">
        <w:rPr>
          <w:iCs/>
          <w:color w:val="000000"/>
          <w:lang w:val="es-CR"/>
        </w:rPr>
        <w:t>el</w:t>
      </w:r>
      <w:r w:rsidR="00BB3756" w:rsidRPr="00FD636B">
        <w:rPr>
          <w:iCs/>
          <w:color w:val="000000"/>
          <w:lang w:val="es-CR"/>
        </w:rPr>
        <w:t xml:space="preserve"> servicio de transporte público remunerado de personas, modalidad autobús, es</w:t>
      </w:r>
      <w:r w:rsidR="00182840">
        <w:rPr>
          <w:iCs/>
          <w:color w:val="000000"/>
          <w:lang w:val="es-CR"/>
        </w:rPr>
        <w:t>tá</w:t>
      </w:r>
      <w:r w:rsidR="00BB3756" w:rsidRPr="00FD636B">
        <w:rPr>
          <w:iCs/>
          <w:color w:val="000000"/>
          <w:lang w:val="es-CR"/>
        </w:rPr>
        <w:t xml:space="preserve"> no solo estar inscrito como patrono ante la Caja Costarricense de Seguro Social, sino también mantenerse al día con sus obligaciones con la seguridad social, por ende el </w:t>
      </w:r>
      <w:r w:rsidR="006F7A66" w:rsidRPr="00FD636B">
        <w:rPr>
          <w:iCs/>
          <w:color w:val="000000"/>
          <w:lang w:val="es-CR"/>
        </w:rPr>
        <w:t xml:space="preserve">artículo </w:t>
      </w:r>
      <w:r w:rsidR="00BB1429" w:rsidRPr="00FD636B">
        <w:rPr>
          <w:iCs/>
          <w:color w:val="000000"/>
          <w:lang w:val="es-CR"/>
        </w:rPr>
        <w:t xml:space="preserve">74 de la Ley Constitutiva de la Caja Costarricense del Seguro Social, </w:t>
      </w:r>
      <w:r w:rsidR="00BB3756" w:rsidRPr="00FD636B">
        <w:rPr>
          <w:iCs/>
          <w:color w:val="000000"/>
          <w:lang w:val="es-CR"/>
        </w:rPr>
        <w:t xml:space="preserve">establece la obligación que cada Institución del Estado, en este caso el Consejo de Transporte Público, </w:t>
      </w:r>
      <w:r w:rsidR="00993959" w:rsidRPr="00FD636B">
        <w:rPr>
          <w:iCs/>
          <w:color w:val="000000"/>
          <w:lang w:val="es-CR"/>
        </w:rPr>
        <w:t>tiene a</w:t>
      </w:r>
      <w:r w:rsidR="00BB3756" w:rsidRPr="00FD636B">
        <w:rPr>
          <w:iCs/>
          <w:color w:val="000000"/>
          <w:lang w:val="es-CR"/>
        </w:rPr>
        <w:t xml:space="preserve"> su cargo, de verificar que los permisionarios o concesionarios por el autorizados, se encuentren al día </w:t>
      </w:r>
      <w:r w:rsidR="00993959" w:rsidRPr="00FD636B">
        <w:rPr>
          <w:iCs/>
          <w:color w:val="000000"/>
          <w:lang w:val="es-CR"/>
        </w:rPr>
        <w:t>con el pago de sus obligaciones ante la seguridad social.</w:t>
      </w:r>
    </w:p>
    <w:p w:rsidR="00BB3756" w:rsidRDefault="00BB3756" w:rsidP="006F7A66">
      <w:pPr>
        <w:spacing w:line="276" w:lineRule="auto"/>
        <w:jc w:val="both"/>
        <w:rPr>
          <w:iCs/>
          <w:color w:val="000000"/>
        </w:rPr>
      </w:pPr>
    </w:p>
    <w:p w:rsidR="00182840" w:rsidRDefault="00E72CD9" w:rsidP="006F7A66">
      <w:pPr>
        <w:spacing w:line="276" w:lineRule="auto"/>
        <w:jc w:val="both"/>
        <w:rPr>
          <w:iCs/>
          <w:color w:val="000000"/>
        </w:rPr>
      </w:pPr>
      <w:r>
        <w:rPr>
          <w:iCs/>
          <w:color w:val="000000"/>
        </w:rPr>
        <w:t xml:space="preserve">Al respecto, la Contraloría General de la República, tiene abundantes criterios respecto de las certificaciones de estaría al día con las obligaciones con la </w:t>
      </w:r>
      <w:proofErr w:type="spellStart"/>
      <w:r>
        <w:rPr>
          <w:iCs/>
          <w:color w:val="000000"/>
        </w:rPr>
        <w:t>CCSS</w:t>
      </w:r>
      <w:proofErr w:type="spellEnd"/>
      <w:r>
        <w:rPr>
          <w:iCs/>
          <w:color w:val="000000"/>
        </w:rPr>
        <w:t>, y sus efectos para la calificación de ofertas y selección de adjudicatarios, entre ellos se puede</w:t>
      </w:r>
      <w:r w:rsidR="00CA3294">
        <w:rPr>
          <w:iCs/>
          <w:color w:val="000000"/>
        </w:rPr>
        <w:t xml:space="preserve"> observar el siguiente criterio, emitido en el conocimiento de un recurso de apelación ante esa sede:</w:t>
      </w:r>
    </w:p>
    <w:p w:rsidR="00CA3294" w:rsidRDefault="00CA3294" w:rsidP="006F7A66">
      <w:pPr>
        <w:spacing w:line="276" w:lineRule="auto"/>
        <w:jc w:val="both"/>
        <w:rPr>
          <w:iCs/>
          <w:color w:val="000000"/>
        </w:rPr>
      </w:pPr>
    </w:p>
    <w:p w:rsidR="00CA3294" w:rsidRPr="009E0C3E" w:rsidRDefault="00CA3294" w:rsidP="00CA3294">
      <w:pPr>
        <w:autoSpaceDE w:val="0"/>
        <w:autoSpaceDN w:val="0"/>
        <w:adjustRightInd w:val="0"/>
        <w:ind w:left="851" w:right="851"/>
        <w:jc w:val="both"/>
        <w:rPr>
          <w:i/>
          <w:iCs/>
          <w:sz w:val="20"/>
          <w:szCs w:val="20"/>
        </w:rPr>
      </w:pPr>
      <w:r w:rsidRPr="009E0C3E">
        <w:rPr>
          <w:bCs/>
          <w:sz w:val="20"/>
          <w:szCs w:val="20"/>
        </w:rPr>
        <w:t xml:space="preserve">“(…) </w:t>
      </w:r>
      <w:r w:rsidRPr="009E0C3E">
        <w:rPr>
          <w:b/>
          <w:bCs/>
          <w:sz w:val="20"/>
          <w:szCs w:val="20"/>
        </w:rPr>
        <w:t xml:space="preserve">Criterio de la División. </w:t>
      </w:r>
      <w:r w:rsidRPr="009E0C3E">
        <w:rPr>
          <w:sz w:val="20"/>
          <w:szCs w:val="20"/>
        </w:rPr>
        <w:t xml:space="preserve">Tomando en consideración los aspectos alegados, este órgano contralor estima necesario realizar algunas consideraciones respecto de la normativa alegada, para que luego valorar su aplicación y consecuencias en el caso en concreto, por lo que de seguido haremos un análisis separado de la normativa, sin perjuicio de lo que se diga en concreto para el caso de las empresas interpeladas por la apelante. </w:t>
      </w:r>
      <w:r w:rsidRPr="009E0C3E">
        <w:rPr>
          <w:b/>
          <w:bCs/>
          <w:sz w:val="20"/>
          <w:szCs w:val="20"/>
        </w:rPr>
        <w:t>A) De los alcances del artículo 74 de la Ley Constitutiva de la Caja Costarricense del Seguro Social (</w:t>
      </w:r>
      <w:proofErr w:type="spellStart"/>
      <w:r w:rsidRPr="009E0C3E">
        <w:rPr>
          <w:b/>
          <w:bCs/>
          <w:sz w:val="20"/>
          <w:szCs w:val="20"/>
        </w:rPr>
        <w:t>CCSS</w:t>
      </w:r>
      <w:proofErr w:type="spellEnd"/>
      <w:r w:rsidRPr="009E0C3E">
        <w:rPr>
          <w:b/>
          <w:bCs/>
          <w:sz w:val="20"/>
          <w:szCs w:val="20"/>
        </w:rPr>
        <w:t xml:space="preserve">). </w:t>
      </w:r>
      <w:r w:rsidRPr="009E0C3E">
        <w:rPr>
          <w:sz w:val="20"/>
          <w:szCs w:val="20"/>
        </w:rPr>
        <w:t xml:space="preserve">Al respecto como este órgano contralor ha señalado en reiteradas oportunidades, que de conformidad con el artículo 74 de cita, existe una obligación, para los patronos y las personas que realicen total o parcialmente actividades independientes o no asalariadas, de estar al día en el pago de sus obligaciones con la Caja. En lo que interesa, dicha norma dispone lo siguiente: </w:t>
      </w:r>
      <w:r w:rsidRPr="009E0C3E">
        <w:rPr>
          <w:i/>
          <w:iCs/>
          <w:sz w:val="20"/>
          <w:szCs w:val="20"/>
        </w:rPr>
        <w:t>― Los patronos y las personas que realicen total o parcialmente actividades independientes o no asalariadas, deberán estar al día en el pago de sus obligaciones con la Caja Costarricense de Seguro Social (</w:t>
      </w:r>
      <w:proofErr w:type="spellStart"/>
      <w:r w:rsidRPr="009E0C3E">
        <w:rPr>
          <w:i/>
          <w:iCs/>
          <w:sz w:val="20"/>
          <w:szCs w:val="20"/>
        </w:rPr>
        <w:t>CCSS</w:t>
      </w:r>
      <w:proofErr w:type="spellEnd"/>
      <w:r w:rsidRPr="009E0C3E">
        <w:rPr>
          <w:i/>
          <w:iCs/>
          <w:sz w:val="20"/>
          <w:szCs w:val="20"/>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 (...)3.- Participar en cualquier proceso de contratación con la Administración Pública, central o descentralizada, con empresas públicas o con entes públicos no estatales, fideicomisos o entidades privadas que administren o dispongan, por cualquier título, de fondos públicos. 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 </w:t>
      </w:r>
    </w:p>
    <w:p w:rsidR="00CA3294" w:rsidRPr="009E0C3E" w:rsidRDefault="00CA3294" w:rsidP="00CA3294">
      <w:pPr>
        <w:autoSpaceDE w:val="0"/>
        <w:autoSpaceDN w:val="0"/>
        <w:adjustRightInd w:val="0"/>
        <w:ind w:left="851" w:right="851"/>
        <w:jc w:val="both"/>
        <w:rPr>
          <w:i/>
          <w:iCs/>
          <w:sz w:val="20"/>
          <w:szCs w:val="20"/>
        </w:rPr>
      </w:pPr>
      <w:r w:rsidRPr="009E0C3E">
        <w:rPr>
          <w:sz w:val="20"/>
          <w:szCs w:val="20"/>
        </w:rPr>
        <w:t xml:space="preserve">Esta norma de rango legal, encuentra su desarrollo ejecutivo en el Reglamento al artículo 74 de la Ley Constitutiva de la </w:t>
      </w:r>
      <w:proofErr w:type="spellStart"/>
      <w:r w:rsidRPr="009E0C3E">
        <w:rPr>
          <w:sz w:val="20"/>
          <w:szCs w:val="20"/>
        </w:rPr>
        <w:t>CCSS</w:t>
      </w:r>
      <w:proofErr w:type="spellEnd"/>
      <w:r w:rsidRPr="009E0C3E">
        <w:rPr>
          <w:sz w:val="20"/>
          <w:szCs w:val="20"/>
        </w:rPr>
        <w:t xml:space="preserve"> (Decreto Ejecutivo No. 28770-</w:t>
      </w:r>
      <w:proofErr w:type="spellStart"/>
      <w:r w:rsidRPr="009E0C3E">
        <w:rPr>
          <w:sz w:val="20"/>
          <w:szCs w:val="20"/>
        </w:rPr>
        <w:t>MP</w:t>
      </w:r>
      <w:proofErr w:type="spellEnd"/>
      <w:r w:rsidRPr="009E0C3E">
        <w:rPr>
          <w:sz w:val="20"/>
          <w:szCs w:val="20"/>
        </w:rPr>
        <w:t>-</w:t>
      </w:r>
      <w:proofErr w:type="spellStart"/>
      <w:r w:rsidRPr="009E0C3E">
        <w:rPr>
          <w:sz w:val="20"/>
          <w:szCs w:val="20"/>
        </w:rPr>
        <w:t>MTSS</w:t>
      </w:r>
      <w:proofErr w:type="spellEnd"/>
      <w:r w:rsidRPr="009E0C3E">
        <w:rPr>
          <w:sz w:val="20"/>
          <w:szCs w:val="20"/>
        </w:rPr>
        <w:t xml:space="preserve">) y en materia de contratación administrativa como requisito para participar se encuentra desarrollado en el artículo 65 del Reglamento a la Ley de Contratación Administrativa que establece la obligación para los oferentes de aportar junto con 14 su oferta una certificación de que se encuentra al día en el pago de las obligaciones obrero patronales con la Caja. En lo que interesa, dicha norma dispone lo siguiente: </w:t>
      </w:r>
      <w:r w:rsidRPr="009E0C3E">
        <w:rPr>
          <w:i/>
          <w:iCs/>
          <w:sz w:val="20"/>
          <w:szCs w:val="20"/>
        </w:rPr>
        <w:t xml:space="preserve">―Artículo 65. Documentos a aportar. Toda oferta presentada por un proveedor nacional contendrá las siguientes declaraciones y certificaciones, sin perjuicio de cualquier otra documentación de la misma naturaleza, que la Administración requiera en el cartel. (...) c) Certificación de que el oferente se encuentra al día en el pago de las obligaciones obrero patronales con la Caja Costarricense del Seguro Social (en adelante </w:t>
      </w:r>
      <w:proofErr w:type="spellStart"/>
      <w:r w:rsidRPr="009E0C3E">
        <w:rPr>
          <w:i/>
          <w:iCs/>
          <w:sz w:val="20"/>
          <w:szCs w:val="20"/>
        </w:rPr>
        <w:t>CCSS</w:t>
      </w:r>
      <w:proofErr w:type="spellEnd"/>
      <w:r w:rsidRPr="009E0C3E">
        <w:rPr>
          <w:i/>
          <w:iCs/>
          <w:sz w:val="20"/>
          <w:szCs w:val="20"/>
        </w:rPr>
        <w:t xml:space="preserve">), o bien, que tiene un arreglo de pago aprobado por ésta, vigente al momento de la apertura de las ofertas. La Administración podrá señalar en el cartel en qué casos la certificación de la </w:t>
      </w:r>
      <w:proofErr w:type="spellStart"/>
      <w:r w:rsidRPr="009E0C3E">
        <w:rPr>
          <w:i/>
          <w:iCs/>
          <w:sz w:val="20"/>
          <w:szCs w:val="20"/>
        </w:rPr>
        <w:t>CCSS</w:t>
      </w:r>
      <w:proofErr w:type="spellEnd"/>
      <w:r w:rsidRPr="009E0C3E">
        <w:rPr>
          <w:i/>
          <w:iCs/>
          <w:sz w:val="20"/>
          <w:szCs w:val="20"/>
        </w:rPr>
        <w:t xml:space="preserve"> no deba aportarse, porque se cuenta con acceso directo al sistema de dicha entidad y puede verificar por sí misma la condición del participante. En todo caso, la Administración podrá constatar en cualquier momento el cumplimiento de las obligaciones obrero patronales.‖ </w:t>
      </w:r>
      <w:r w:rsidRPr="009E0C3E">
        <w:rPr>
          <w:sz w:val="20"/>
          <w:szCs w:val="20"/>
        </w:rPr>
        <w:t xml:space="preserve">Por su parte la Sala Constitucional al analizar la </w:t>
      </w:r>
      <w:r w:rsidRPr="009E0C3E">
        <w:rPr>
          <w:sz w:val="20"/>
          <w:szCs w:val="20"/>
        </w:rPr>
        <w:lastRenderedPageBreak/>
        <w:t xml:space="preserve">constitucionalidad del artículo 74 referido, señaló que: </w:t>
      </w:r>
      <w:r w:rsidRPr="009E0C3E">
        <w:rPr>
          <w:i/>
          <w:iCs/>
          <w:sz w:val="20"/>
          <w:szCs w:val="20"/>
        </w:rPr>
        <w:t xml:space="preserve">―Sustentado en la jurisprudencia indicada en el considerando primero de esta sentencia y de la cual se deriva la protección que se ha dado del régimen de seguridad social, debe confirmarse el criterio alegado por la parte accionante en la acción que nos ocupa, ya que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tendiente a que las pensiones sean sostenibles a futuro, pues del análisis mencionado, </w:t>
      </w:r>
      <w:r w:rsidRPr="009E0C3E">
        <w:rPr>
          <w:b/>
          <w:bCs/>
          <w:i/>
          <w:iCs/>
          <w:sz w:val="20"/>
          <w:szCs w:val="20"/>
        </w:rPr>
        <w:t>se concluye que una de las formas mediante las cuales se evita la morosidad, es la prevista en el párrafo segundo del artículo 74 bajo examen, mediante el cual se obliga –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w:t>
      </w:r>
      <w:r w:rsidRPr="009E0C3E">
        <w:rPr>
          <w:sz w:val="20"/>
          <w:szCs w:val="20"/>
        </w:rPr>
        <w:t xml:space="preserve">” (el resaltado es agregado). En (…) una línea similar, este órgano contralor ha sostenido en relación con este tema que: </w:t>
      </w:r>
      <w:r w:rsidRPr="009E0C3E">
        <w:rPr>
          <w:i/>
          <w:iCs/>
          <w:sz w:val="20"/>
          <w:szCs w:val="20"/>
        </w:rPr>
        <w:t xml:space="preserve">―Como puede verse el pago de las cuotas obrero-patronales no resulta ser un simple requisito de forma o de carácter intrascendente como pretende hacer ver la Administración licitante y la adjudicataria, sino que, por el contrario, deriva de un deber constitucional que por lo demás resulta sustancial para efectos de la participación de los procesos de contratación administrativa. Se convierte este requisito en un presupuesto para participar, el cual debe tenerse no solo ante la posibilidad efectiva en la etapa de suscripción del contrato o momentos posteriores –como dice la adjudicataria, sino que (sic) requerimiento desde el momento en que se pretende someter la oferta a consideración de la Administración. En este sentido, la norma legal es clara en indicar que el requisito debe cumplirse para efectos de participar y esto debe cumplirse no en cualquier etapa del procedimiento sino en un momento cierto, con es la apertura de las ofertas. Es en ese momento en el que se toma una especie de fotografía de las ofertas respecto de sus condiciones técnicas, jurídicas o económicas; de tal suerte que no pueden ser susceptibles de modificación, por lo que el cumplimiento de los requisitos exigidos por el ordenamiento jurídico debe tenerlo el oferente al momento de someter su plica a conocimiento de la Administración. Un requisito sustancial como este, no puede dejarse librado a la voluntad del contratista, para que con posterioridad y en algún momento de la contratación decida cumplirlo; pues bien podría llegarse al absurdo de que la Administración llegara a adjudicar a una oferta y que no se encuentra al día con las cuotas, con el consecuente incumplimiento del deber constitucional, aunque se trate de una ofertas </w:t>
      </w:r>
      <w:r w:rsidRPr="009E0C3E">
        <w:rPr>
          <w:iCs/>
          <w:sz w:val="20"/>
          <w:szCs w:val="20"/>
        </w:rPr>
        <w:t>[sic]</w:t>
      </w:r>
      <w:r w:rsidRPr="009E0C3E">
        <w:rPr>
          <w:i/>
          <w:iCs/>
          <w:sz w:val="20"/>
          <w:szCs w:val="20"/>
        </w:rPr>
        <w:t xml:space="preserve"> de excesivas bondades técnicas y económicas. Por esas mismas razones y dejando claro que el requisito resulta absolutamente sustancial al momento de la apertura, tampoco es posible compartir la posición del adjudicatario, respecto que el requisito debería verificarse al momento de la suscripción del contrato o incluso en momentos posteriores, porque ello sería caer en interpretaciones subjetivas de la norma, a</w:t>
      </w:r>
    </w:p>
    <w:p w:rsidR="00CA3294" w:rsidRPr="009E0C3E" w:rsidRDefault="00CA3294" w:rsidP="00CA3294">
      <w:pPr>
        <w:autoSpaceDE w:val="0"/>
        <w:autoSpaceDN w:val="0"/>
        <w:adjustRightInd w:val="0"/>
        <w:ind w:left="851" w:right="851"/>
        <w:jc w:val="both"/>
        <w:rPr>
          <w:sz w:val="20"/>
          <w:szCs w:val="20"/>
        </w:rPr>
      </w:pPr>
      <w:r w:rsidRPr="009E0C3E">
        <w:rPr>
          <w:i/>
          <w:iCs/>
          <w:sz w:val="20"/>
          <w:szCs w:val="20"/>
        </w:rPr>
        <w:t xml:space="preserve">gusto de quien aplique la norma. </w:t>
      </w:r>
      <w:r w:rsidRPr="009E0C3E">
        <w:rPr>
          <w:iCs/>
          <w:sz w:val="20"/>
          <w:szCs w:val="20"/>
        </w:rPr>
        <w:t>(…)</w:t>
      </w:r>
      <w:r w:rsidRPr="009E0C3E">
        <w:rPr>
          <w:sz w:val="20"/>
          <w:szCs w:val="20"/>
        </w:rPr>
        <w:t xml:space="preserve">. No obstante lo anterior, en aras de brindar una aplicación razonable y proporcionada del requisito, este órgano contralor también ha reconocido la posibilidad de que estando al día al momento de la apertura un oferente </w:t>
      </w:r>
      <w:r w:rsidRPr="009E0C3E">
        <w:rPr>
          <w:sz w:val="20"/>
          <w:szCs w:val="20"/>
        </w:rPr>
        <w:lastRenderedPageBreak/>
        <w:t>pueda convertirse en moroso en el curso del análisis de ofertas, circunstancia que sí resultaría subsanable en el momento que la Administración lo prevenga o el propio oferente lo advierta (Resolución No. R-</w:t>
      </w:r>
      <w:proofErr w:type="spellStart"/>
      <w:r w:rsidRPr="009E0C3E">
        <w:rPr>
          <w:sz w:val="20"/>
          <w:szCs w:val="20"/>
        </w:rPr>
        <w:t>DCA</w:t>
      </w:r>
      <w:proofErr w:type="spellEnd"/>
      <w:r w:rsidRPr="009E0C3E">
        <w:rPr>
          <w:sz w:val="20"/>
          <w:szCs w:val="20"/>
        </w:rPr>
        <w:t>-429-2007 de las 10:00 horas del 2 de octubre de 2007). Al respecto debe señalarse que dichas normas exigen el cumplimiento de estar al día en relación con las cuotas obrero patronales con la Caja Costarricense del Seguro Social, pero en este caso se discute los alcances de la norma en cuanto dispone: “otras contribuciones sociales que recaude esta Institución conforme a la ley” y “Para realizar los siguientes trámites administrativos, será requisito estar inscrito como patrono, trabajador independiente o en ambas modalidades, según corresponda, y al día en el pago de las obligaciones, de conformidad con los artículos 31 y 51 de esta Ley.” Para ello necesariamente debe considerarse que el artículo 31 de la Ley Constitutiva de la Caja Costarricense del Seguro Social crea el Sistema Centralizado de Recaudación (</w:t>
      </w:r>
      <w:proofErr w:type="spellStart"/>
      <w:r w:rsidRPr="009E0C3E">
        <w:rPr>
          <w:sz w:val="20"/>
          <w:szCs w:val="20"/>
        </w:rPr>
        <w:t>SICERE</w:t>
      </w:r>
      <w:proofErr w:type="spellEnd"/>
      <w:r w:rsidRPr="009E0C3E">
        <w:rPr>
          <w:sz w:val="20"/>
          <w:szCs w:val="20"/>
        </w:rPr>
        <w:t>), para llevar el registro de los afiliados, ejercer el control de los aportes al Régimen de Invalidez, Vejez y Muerte, de Pensiones Complementarios, de Enfermedad y Maternidad; a los Fondos de Capitalización Laboral; además de las cargas sociales cuya recaudación ha sido encomendada a la Caja Costarricense del Seguro Social y cualquier otra que la Ley le establezca, respecto de lo cual debe considerarse que la Caja recauda otras cuotas por disposición de leyes especiales que por sí mismas no tienen la misma naturaleza (…)” (Resolución número R-</w:t>
      </w:r>
      <w:proofErr w:type="spellStart"/>
      <w:r w:rsidRPr="009E0C3E">
        <w:rPr>
          <w:sz w:val="20"/>
          <w:szCs w:val="20"/>
        </w:rPr>
        <w:t>DCA</w:t>
      </w:r>
      <w:proofErr w:type="spellEnd"/>
      <w:r w:rsidRPr="009E0C3E">
        <w:rPr>
          <w:sz w:val="20"/>
          <w:szCs w:val="20"/>
        </w:rPr>
        <w:t xml:space="preserve">-063-2012 de las 13:00 </w:t>
      </w:r>
      <w:proofErr w:type="spellStart"/>
      <w:r w:rsidRPr="009E0C3E">
        <w:rPr>
          <w:sz w:val="20"/>
          <w:szCs w:val="20"/>
        </w:rPr>
        <w:t>Hrs</w:t>
      </w:r>
      <w:proofErr w:type="spellEnd"/>
      <w:r w:rsidRPr="009E0C3E">
        <w:rPr>
          <w:sz w:val="20"/>
          <w:szCs w:val="20"/>
        </w:rPr>
        <w:t xml:space="preserve">., del 7 de febrero del 2012, emitida por Contraloría General de la República,  División de Contratación Administrativa.) </w:t>
      </w:r>
    </w:p>
    <w:p w:rsidR="00182840" w:rsidRPr="00FD636B" w:rsidRDefault="00182840" w:rsidP="006F7A66">
      <w:pPr>
        <w:spacing w:line="276" w:lineRule="auto"/>
        <w:jc w:val="both"/>
        <w:rPr>
          <w:iCs/>
          <w:color w:val="000000"/>
        </w:rPr>
      </w:pPr>
    </w:p>
    <w:p w:rsidR="00BB3756" w:rsidRPr="00FD636B" w:rsidRDefault="00BB3756" w:rsidP="00CA3294">
      <w:pPr>
        <w:spacing w:line="276" w:lineRule="auto"/>
        <w:jc w:val="both"/>
        <w:rPr>
          <w:iCs/>
          <w:color w:val="000000"/>
        </w:rPr>
      </w:pPr>
      <w:r w:rsidRPr="00FD636B">
        <w:rPr>
          <w:iCs/>
          <w:color w:val="000000"/>
        </w:rPr>
        <w:t xml:space="preserve">En el caso que nos ocupa, se tiene demostrado que en varias ocasiones la Administración realizó la consulta respectiva, y la condición de morosa de la empresa se mantenía, sin que durante el procedimiento administrativo que se le siguió a la empresa permisionaria, ésta aportara documentación alguna que pudiera ser objeto de valoración por parte de la Junta Directiva. </w:t>
      </w:r>
      <w:r w:rsidR="003636EF" w:rsidRPr="00FD636B">
        <w:rPr>
          <w:iCs/>
          <w:color w:val="000000"/>
        </w:rPr>
        <w:t>El argumento de que no recibieron la notificación respectiva, no es de recibo, toda vez que es responsabilidad del recurrente, que los medios electrónicos que indica para que se le notifiquen las actuaciones de la administración, no puede ser trasladada a la Administración, pues no se está ante una comunicación defectuosa por causa imputable a la Administración.</w:t>
      </w:r>
      <w:r w:rsidRPr="00FD636B">
        <w:rPr>
          <w:iCs/>
          <w:color w:val="000000"/>
        </w:rPr>
        <w:t xml:space="preserve">  </w:t>
      </w:r>
    </w:p>
    <w:p w:rsidR="00993959" w:rsidRPr="00FD636B" w:rsidRDefault="00993959" w:rsidP="00CA3294">
      <w:pPr>
        <w:spacing w:line="276" w:lineRule="auto"/>
        <w:jc w:val="both"/>
        <w:rPr>
          <w:iCs/>
          <w:color w:val="000000"/>
        </w:rPr>
      </w:pPr>
    </w:p>
    <w:p w:rsidR="00572249" w:rsidRDefault="00572249" w:rsidP="00CA3294">
      <w:pPr>
        <w:pStyle w:val="Sinespaciado"/>
        <w:tabs>
          <w:tab w:val="left" w:pos="284"/>
          <w:tab w:val="left" w:pos="2410"/>
        </w:tabs>
        <w:spacing w:line="276" w:lineRule="auto"/>
        <w:jc w:val="both"/>
        <w:rPr>
          <w:iCs/>
          <w:color w:val="000000"/>
          <w:lang w:val="es-CR"/>
        </w:rPr>
      </w:pPr>
      <w:r w:rsidRPr="00FD636B">
        <w:rPr>
          <w:iCs/>
          <w:color w:val="000000"/>
          <w:lang w:val="es-CR"/>
        </w:rPr>
        <w:t xml:space="preserve">Es importante recalcar que, durante el proceso de la tramitación del proceso especial abreviado para el otorgamiento de Concesiones, la empresa debe mantenerse al día con sus obligaciones, al igual que cuando se ha otorgado la concesión y </w:t>
      </w:r>
      <w:r w:rsidR="003636EF" w:rsidRPr="00FD636B">
        <w:rPr>
          <w:iCs/>
          <w:color w:val="000000"/>
          <w:lang w:val="es-CR"/>
        </w:rPr>
        <w:t>así demostrarlo en todo momento.</w:t>
      </w:r>
    </w:p>
    <w:p w:rsidR="00CA3294" w:rsidRPr="00FD636B" w:rsidRDefault="00CA3294" w:rsidP="00CA3294">
      <w:pPr>
        <w:pStyle w:val="Sinespaciado"/>
        <w:tabs>
          <w:tab w:val="left" w:pos="284"/>
          <w:tab w:val="left" w:pos="2410"/>
        </w:tabs>
        <w:spacing w:line="276" w:lineRule="auto"/>
        <w:jc w:val="both"/>
        <w:rPr>
          <w:iCs/>
          <w:color w:val="000000"/>
          <w:lang w:val="es-CR"/>
        </w:rPr>
      </w:pPr>
    </w:p>
    <w:p w:rsidR="00572249" w:rsidRPr="00FD636B" w:rsidRDefault="003636EF" w:rsidP="00CA3294">
      <w:pPr>
        <w:pStyle w:val="Sinespaciado"/>
        <w:tabs>
          <w:tab w:val="left" w:pos="284"/>
          <w:tab w:val="left" w:pos="2410"/>
        </w:tabs>
        <w:spacing w:line="276" w:lineRule="auto"/>
        <w:jc w:val="both"/>
        <w:rPr>
          <w:iCs/>
          <w:color w:val="000000"/>
          <w:lang w:val="es-CR"/>
        </w:rPr>
      </w:pPr>
      <w:r w:rsidRPr="00FD636B">
        <w:rPr>
          <w:iCs/>
          <w:color w:val="000000"/>
          <w:lang w:val="es-CR"/>
        </w:rPr>
        <w:t>Respecto al alegato de la recurrente, de que se transgrede el artículo 133 inciso 1 de la Ley General de la Administración Pública, el mismo no se sostiene frente a los hechos que</w:t>
      </w:r>
      <w:r w:rsidR="0072603C" w:rsidRPr="00FD636B">
        <w:rPr>
          <w:iCs/>
          <w:color w:val="000000"/>
          <w:lang w:val="es-CR"/>
        </w:rPr>
        <w:t xml:space="preserve"> se</w:t>
      </w:r>
      <w:r w:rsidRPr="00FD636B">
        <w:rPr>
          <w:iCs/>
          <w:color w:val="000000"/>
          <w:lang w:val="es-CR"/>
        </w:rPr>
        <w:t xml:space="preserve"> encuentran en el expediente y la misma prueba aportada por el recurrente, toda vez que el acto administrativo que se impugna en el </w:t>
      </w:r>
      <w:r w:rsidRPr="00FD636B">
        <w:rPr>
          <w:b/>
          <w:iCs/>
          <w:color w:val="000000"/>
          <w:lang w:val="es-CR"/>
        </w:rPr>
        <w:t>Artículo</w:t>
      </w:r>
      <w:r w:rsidRPr="00FD636B">
        <w:rPr>
          <w:b/>
          <w:color w:val="000000"/>
          <w:lang w:val="es-CR"/>
        </w:rPr>
        <w:t xml:space="preserve"> 7.</w:t>
      </w:r>
      <w:r w:rsidR="007B7858" w:rsidRPr="00FD636B">
        <w:rPr>
          <w:b/>
          <w:color w:val="000000"/>
          <w:lang w:val="es-CR"/>
        </w:rPr>
        <w:t>6 de la Sesión Ordinaria 3</w:t>
      </w:r>
      <w:r w:rsidR="0072603C" w:rsidRPr="00FD636B">
        <w:rPr>
          <w:b/>
          <w:color w:val="000000"/>
          <w:lang w:val="es-CR"/>
        </w:rPr>
        <w:t>6</w:t>
      </w:r>
      <w:r w:rsidRPr="00FD636B">
        <w:rPr>
          <w:b/>
          <w:color w:val="000000"/>
          <w:lang w:val="es-CR"/>
        </w:rPr>
        <w:t>-2015 del 2</w:t>
      </w:r>
      <w:r w:rsidR="007B7858" w:rsidRPr="00FD636B">
        <w:rPr>
          <w:b/>
          <w:color w:val="000000"/>
          <w:lang w:val="es-CR"/>
        </w:rPr>
        <w:t>4</w:t>
      </w:r>
      <w:r w:rsidRPr="00FD636B">
        <w:rPr>
          <w:b/>
          <w:color w:val="000000"/>
          <w:lang w:val="es-CR"/>
        </w:rPr>
        <w:t xml:space="preserve"> de </w:t>
      </w:r>
      <w:r w:rsidR="007B7858" w:rsidRPr="00FD636B">
        <w:rPr>
          <w:b/>
          <w:color w:val="000000"/>
          <w:lang w:val="es-CR"/>
        </w:rPr>
        <w:t>junio</w:t>
      </w:r>
      <w:r w:rsidRPr="00FD636B">
        <w:rPr>
          <w:b/>
          <w:color w:val="000000"/>
          <w:lang w:val="es-CR"/>
        </w:rPr>
        <w:t xml:space="preserve"> del 2015</w:t>
      </w:r>
      <w:r w:rsidRPr="00FD636B">
        <w:rPr>
          <w:color w:val="000000"/>
          <w:lang w:val="es-CR"/>
        </w:rPr>
        <w:t xml:space="preserve">, evidencia que justamente, a febrero del 2015, la empresa continuaba morosa con sus obligaciones con la </w:t>
      </w:r>
      <w:proofErr w:type="spellStart"/>
      <w:r w:rsidRPr="00FD636B">
        <w:rPr>
          <w:color w:val="000000"/>
          <w:lang w:val="es-CR"/>
        </w:rPr>
        <w:t>CCSS</w:t>
      </w:r>
      <w:proofErr w:type="spellEnd"/>
      <w:r w:rsidRPr="00FD636B">
        <w:rPr>
          <w:color w:val="000000"/>
          <w:lang w:val="es-CR"/>
        </w:rPr>
        <w:t xml:space="preserve">, y no es sino hasta el </w:t>
      </w:r>
      <w:r w:rsidRPr="0045140A">
        <w:rPr>
          <w:b/>
          <w:color w:val="000000"/>
          <w:u w:val="single"/>
          <w:lang w:val="es-CR"/>
        </w:rPr>
        <w:t>13 de mayo de 2015</w:t>
      </w:r>
      <w:r w:rsidRPr="00FD636B">
        <w:rPr>
          <w:color w:val="000000"/>
          <w:lang w:val="es-CR"/>
        </w:rPr>
        <w:t xml:space="preserve">,  que la empresa se </w:t>
      </w:r>
      <w:r w:rsidR="00216160" w:rsidRPr="00FD636B">
        <w:rPr>
          <w:color w:val="000000"/>
          <w:lang w:val="es-CR"/>
        </w:rPr>
        <w:t xml:space="preserve">pone al día con sus obligaciones, a instancia del mismo Consejo de Transporte Público. De ahí que el motivo del acto impugnado, no sólo es legítimo, sino que </w:t>
      </w:r>
      <w:r w:rsidR="00216160" w:rsidRPr="00FD636B">
        <w:rPr>
          <w:color w:val="000000"/>
          <w:lang w:val="es-CR"/>
        </w:rPr>
        <w:lastRenderedPageBreak/>
        <w:t xml:space="preserve">existió al momento de dictarse el acto administrativo. </w:t>
      </w:r>
      <w:r w:rsidRPr="00FD636B">
        <w:rPr>
          <w:iCs/>
          <w:color w:val="000000"/>
          <w:lang w:val="es-CR"/>
        </w:rPr>
        <w:t xml:space="preserve">(Léanse los folios 41, 45 y 66 del expediente </w:t>
      </w:r>
      <w:proofErr w:type="spellStart"/>
      <w:r w:rsidRPr="00FD636B">
        <w:rPr>
          <w:iCs/>
          <w:color w:val="000000"/>
          <w:lang w:val="es-CR"/>
        </w:rPr>
        <w:t>TAT</w:t>
      </w:r>
      <w:proofErr w:type="spellEnd"/>
      <w:r w:rsidRPr="00FD636B">
        <w:rPr>
          <w:iCs/>
          <w:color w:val="000000"/>
          <w:lang w:val="es-CR"/>
        </w:rPr>
        <w:t>-21-16)</w:t>
      </w:r>
    </w:p>
    <w:p w:rsidR="00216160" w:rsidRPr="00FD636B" w:rsidRDefault="00216160" w:rsidP="00CA3294">
      <w:pPr>
        <w:spacing w:line="276" w:lineRule="auto"/>
        <w:jc w:val="both"/>
        <w:rPr>
          <w:iCs/>
          <w:color w:val="000000"/>
        </w:rPr>
      </w:pPr>
    </w:p>
    <w:p w:rsidR="00993959" w:rsidRPr="00FD636B" w:rsidRDefault="00216160" w:rsidP="00CA3294">
      <w:pPr>
        <w:spacing w:line="276" w:lineRule="auto"/>
        <w:jc w:val="both"/>
        <w:rPr>
          <w:iCs/>
          <w:color w:val="000000"/>
        </w:rPr>
      </w:pPr>
      <w:r w:rsidRPr="00FD636B">
        <w:rPr>
          <w:iCs/>
          <w:color w:val="000000"/>
        </w:rPr>
        <w:t>Debe recordarse a su vez que</w:t>
      </w:r>
      <w:r w:rsidR="0045140A">
        <w:rPr>
          <w:iCs/>
          <w:color w:val="000000"/>
        </w:rPr>
        <w:t>,</w:t>
      </w:r>
      <w:r w:rsidRPr="00FD636B">
        <w:rPr>
          <w:iCs/>
          <w:color w:val="000000"/>
        </w:rPr>
        <w:t xml:space="preserve"> el principio de </w:t>
      </w:r>
      <w:r w:rsidR="00BB3756" w:rsidRPr="00FD636B">
        <w:rPr>
          <w:iCs/>
          <w:color w:val="000000"/>
        </w:rPr>
        <w:t>la universalidad de los seguros, a través de la contribución obligatoria</w:t>
      </w:r>
      <w:r w:rsidRPr="00FD636B">
        <w:rPr>
          <w:iCs/>
          <w:color w:val="000000"/>
        </w:rPr>
        <w:t xml:space="preserve"> a la </w:t>
      </w:r>
      <w:proofErr w:type="spellStart"/>
      <w:r w:rsidRPr="00FD636B">
        <w:rPr>
          <w:iCs/>
          <w:color w:val="000000"/>
        </w:rPr>
        <w:t>CCSS</w:t>
      </w:r>
      <w:proofErr w:type="spellEnd"/>
      <w:r w:rsidR="00BB3756" w:rsidRPr="00FD636B">
        <w:rPr>
          <w:iCs/>
          <w:color w:val="000000"/>
        </w:rPr>
        <w:t xml:space="preserve">, es un principio de rango constitucional, el cual no sólo es protegido por la Caja Costarricense de Seguro Social, sino por todo el aparato estatal, de tal forma que, en aplicación al </w:t>
      </w:r>
      <w:r w:rsidR="006B2563" w:rsidRPr="00FD636B">
        <w:rPr>
          <w:iCs/>
          <w:color w:val="000000"/>
        </w:rPr>
        <w:t>principio</w:t>
      </w:r>
      <w:r w:rsidR="00BB3756" w:rsidRPr="00FD636B">
        <w:rPr>
          <w:iCs/>
          <w:color w:val="000000"/>
        </w:rPr>
        <w:t xml:space="preserve"> de legalidad,</w:t>
      </w:r>
      <w:r w:rsidR="006B2563" w:rsidRPr="00FD636B">
        <w:rPr>
          <w:iCs/>
          <w:color w:val="000000"/>
        </w:rPr>
        <w:t xml:space="preserve"> contenido en los artículos 11 constitucional y 11 de la ley General de la Admiración, Pública, no es viable superponer el interés particular del recurrente, sobre los intereses públicos inmersos en este caso.</w:t>
      </w:r>
      <w:r w:rsidR="00BB3756" w:rsidRPr="00FD636B">
        <w:rPr>
          <w:iCs/>
          <w:color w:val="000000"/>
        </w:rPr>
        <w:t xml:space="preserve"> </w:t>
      </w:r>
    </w:p>
    <w:p w:rsidR="00993959" w:rsidRPr="00FD636B" w:rsidRDefault="00993959" w:rsidP="006F7A66">
      <w:pPr>
        <w:spacing w:line="276" w:lineRule="auto"/>
        <w:jc w:val="both"/>
        <w:rPr>
          <w:iCs/>
          <w:color w:val="000000"/>
        </w:rPr>
      </w:pPr>
    </w:p>
    <w:p w:rsidR="008C75B7" w:rsidRDefault="008C75B7" w:rsidP="008C75B7">
      <w:pPr>
        <w:pStyle w:val="Sinespaciado"/>
        <w:tabs>
          <w:tab w:val="left" w:pos="284"/>
          <w:tab w:val="left" w:pos="2410"/>
        </w:tabs>
        <w:spacing w:line="276" w:lineRule="auto"/>
        <w:jc w:val="both"/>
        <w:rPr>
          <w:iCs/>
          <w:color w:val="000000"/>
          <w:lang w:val="es-CR"/>
        </w:rPr>
      </w:pPr>
    </w:p>
    <w:p w:rsidR="00CA3294" w:rsidRPr="00FD636B" w:rsidRDefault="00CA3294" w:rsidP="008C75B7">
      <w:pPr>
        <w:pStyle w:val="Sinespaciado"/>
        <w:tabs>
          <w:tab w:val="left" w:pos="284"/>
          <w:tab w:val="left" w:pos="2410"/>
        </w:tabs>
        <w:spacing w:line="276" w:lineRule="auto"/>
        <w:jc w:val="both"/>
        <w:rPr>
          <w:iCs/>
          <w:color w:val="000000"/>
          <w:lang w:val="es-CR"/>
        </w:rPr>
      </w:pPr>
    </w:p>
    <w:p w:rsidR="008C75B7" w:rsidRPr="00FD636B" w:rsidRDefault="008C75B7" w:rsidP="008C75B7">
      <w:pPr>
        <w:spacing w:line="276" w:lineRule="auto"/>
        <w:jc w:val="center"/>
        <w:rPr>
          <w:b/>
          <w:iCs/>
          <w:color w:val="000000"/>
        </w:rPr>
      </w:pPr>
      <w:r w:rsidRPr="00FD636B">
        <w:rPr>
          <w:b/>
          <w:iCs/>
          <w:color w:val="000000"/>
        </w:rPr>
        <w:t>POR TANTO</w:t>
      </w:r>
    </w:p>
    <w:p w:rsidR="008C75B7" w:rsidRDefault="008C75B7" w:rsidP="008C75B7">
      <w:pPr>
        <w:spacing w:line="276" w:lineRule="auto"/>
        <w:jc w:val="center"/>
        <w:rPr>
          <w:b/>
          <w:color w:val="000000"/>
        </w:rPr>
      </w:pPr>
    </w:p>
    <w:p w:rsidR="00CA3294" w:rsidRPr="00FD636B" w:rsidRDefault="00CA3294" w:rsidP="008C75B7">
      <w:pPr>
        <w:spacing w:line="276" w:lineRule="auto"/>
        <w:jc w:val="center"/>
        <w:rPr>
          <w:b/>
          <w:color w:val="000000"/>
        </w:rPr>
      </w:pPr>
    </w:p>
    <w:p w:rsidR="008C75B7" w:rsidRPr="00FD636B" w:rsidRDefault="008C75B7" w:rsidP="008C75B7">
      <w:pPr>
        <w:pStyle w:val="Prrafodelista"/>
        <w:numPr>
          <w:ilvl w:val="0"/>
          <w:numId w:val="2"/>
        </w:numPr>
        <w:tabs>
          <w:tab w:val="left" w:pos="426"/>
        </w:tabs>
        <w:spacing w:line="276" w:lineRule="auto"/>
        <w:ind w:left="0" w:firstLine="0"/>
        <w:jc w:val="both"/>
        <w:rPr>
          <w:color w:val="000000"/>
        </w:rPr>
      </w:pPr>
      <w:r w:rsidRPr="00FD636B">
        <w:rPr>
          <w:color w:val="000000"/>
        </w:rPr>
        <w:t xml:space="preserve">Se </w:t>
      </w:r>
      <w:r w:rsidR="005F5E47" w:rsidRPr="00FD636B">
        <w:rPr>
          <w:color w:val="000000"/>
        </w:rPr>
        <w:t>declara</w:t>
      </w:r>
      <w:r w:rsidR="005F5E47" w:rsidRPr="00FD636B">
        <w:rPr>
          <w:b/>
          <w:color w:val="000000"/>
        </w:rPr>
        <w:t xml:space="preserve"> Sin Lugar</w:t>
      </w:r>
      <w:r w:rsidRPr="00FD636B">
        <w:rPr>
          <w:color w:val="000000"/>
        </w:rPr>
        <w:t xml:space="preserve">, </w:t>
      </w:r>
      <w:r w:rsidR="00507342" w:rsidRPr="00FD636B">
        <w:rPr>
          <w:color w:val="000000"/>
        </w:rPr>
        <w:t xml:space="preserve">el </w:t>
      </w:r>
      <w:r w:rsidR="00507342" w:rsidRPr="00FD636B">
        <w:rPr>
          <w:b/>
          <w:smallCaps/>
          <w:color w:val="000000"/>
        </w:rPr>
        <w:t>Recurso de Apelación en Subsidio y nulidad concomitante</w:t>
      </w:r>
      <w:r w:rsidR="00507342" w:rsidRPr="00FD636B">
        <w:rPr>
          <w:smallCaps/>
          <w:color w:val="000000"/>
        </w:rPr>
        <w:t>,</w:t>
      </w:r>
      <w:r w:rsidR="00507342" w:rsidRPr="00FD636B">
        <w:rPr>
          <w:b/>
          <w:smallCaps/>
          <w:color w:val="000000"/>
        </w:rPr>
        <w:t xml:space="preserve"> </w:t>
      </w:r>
      <w:r w:rsidR="00507342" w:rsidRPr="00FD636B">
        <w:rPr>
          <w:color w:val="000000"/>
        </w:rPr>
        <w:t xml:space="preserve">interpuesto por </w:t>
      </w:r>
      <w:proofErr w:type="spellStart"/>
      <w:r w:rsidR="00A35DD6">
        <w:rPr>
          <w:b/>
          <w:smallCaps/>
          <w:color w:val="000000"/>
        </w:rPr>
        <w:t>TAH</w:t>
      </w:r>
      <w:proofErr w:type="spellEnd"/>
      <w:r w:rsidR="00507342" w:rsidRPr="00FD636B">
        <w:rPr>
          <w:b/>
          <w:smallCaps/>
          <w:color w:val="000000"/>
        </w:rPr>
        <w:t xml:space="preserve">., </w:t>
      </w:r>
      <w:r w:rsidR="00507342" w:rsidRPr="00FD636B">
        <w:rPr>
          <w:color w:val="000000"/>
        </w:rPr>
        <w:t xml:space="preserve">cédula jurídica </w:t>
      </w:r>
      <w:r w:rsidR="00306070">
        <w:rPr>
          <w:color w:val="000000"/>
        </w:rPr>
        <w:t>…</w:t>
      </w:r>
      <w:r w:rsidR="00507342" w:rsidRPr="00FD636B">
        <w:rPr>
          <w:color w:val="000000"/>
        </w:rPr>
        <w:t xml:space="preserve">, representada por </w:t>
      </w:r>
      <w:r w:rsidR="00306070">
        <w:rPr>
          <w:color w:val="000000"/>
        </w:rPr>
        <w:t>….</w:t>
      </w:r>
      <w:r w:rsidR="00507342" w:rsidRPr="00FD636B">
        <w:rPr>
          <w:color w:val="000000"/>
        </w:rPr>
        <w:t xml:space="preserve">, en condición de </w:t>
      </w:r>
      <w:r w:rsidR="00306070">
        <w:rPr>
          <w:color w:val="000000"/>
        </w:rPr>
        <w:t>….</w:t>
      </w:r>
      <w:r w:rsidR="00507342" w:rsidRPr="00FD636B">
        <w:rPr>
          <w:color w:val="000000"/>
        </w:rPr>
        <w:t xml:space="preserve">; en contra del </w:t>
      </w:r>
      <w:r w:rsidR="00507342" w:rsidRPr="00FD636B">
        <w:rPr>
          <w:b/>
          <w:color w:val="000000"/>
        </w:rPr>
        <w:t>Artículo 7.6 de la Sesión Ordinaria 36-2015 del 24 de junio del 2015</w:t>
      </w:r>
      <w:r w:rsidR="00D21AEC" w:rsidRPr="00FD636B">
        <w:rPr>
          <w:color w:val="000000"/>
        </w:rPr>
        <w:t>, emitido por la Junta Directiva del Consejo de Transporte Público.</w:t>
      </w:r>
    </w:p>
    <w:p w:rsidR="008C75B7" w:rsidRPr="00FD636B" w:rsidRDefault="008C75B7" w:rsidP="008C75B7">
      <w:pPr>
        <w:pStyle w:val="Prrafodelista"/>
        <w:tabs>
          <w:tab w:val="left" w:pos="426"/>
        </w:tabs>
        <w:spacing w:line="276" w:lineRule="auto"/>
        <w:ind w:left="0"/>
        <w:rPr>
          <w:b/>
          <w:color w:val="000000"/>
        </w:rPr>
      </w:pPr>
    </w:p>
    <w:p w:rsidR="003A63DB" w:rsidRPr="00FD636B" w:rsidRDefault="003A63DB" w:rsidP="008C75B7">
      <w:pPr>
        <w:pStyle w:val="Prrafodelista"/>
        <w:tabs>
          <w:tab w:val="left" w:pos="426"/>
        </w:tabs>
        <w:spacing w:line="276" w:lineRule="auto"/>
        <w:ind w:left="0"/>
        <w:rPr>
          <w:b/>
          <w:color w:val="000000"/>
        </w:rPr>
      </w:pPr>
    </w:p>
    <w:p w:rsidR="008C75B7" w:rsidRPr="00FD636B" w:rsidRDefault="008C75B7" w:rsidP="008C75B7">
      <w:pPr>
        <w:pStyle w:val="Prrafodelista"/>
        <w:numPr>
          <w:ilvl w:val="0"/>
          <w:numId w:val="2"/>
        </w:numPr>
        <w:tabs>
          <w:tab w:val="left" w:pos="0"/>
          <w:tab w:val="left" w:pos="426"/>
        </w:tabs>
        <w:spacing w:line="276" w:lineRule="auto"/>
        <w:ind w:left="0" w:firstLine="0"/>
        <w:jc w:val="both"/>
        <w:rPr>
          <w:b/>
          <w:color w:val="000000"/>
        </w:rPr>
      </w:pPr>
      <w:r w:rsidRPr="00FD636B">
        <w:rPr>
          <w:color w:val="000000"/>
        </w:rPr>
        <w:t xml:space="preserve">Por carecer la presente resolución de ulterior recurso en sede administrativa, de conformidad con los artículos 16 y 22, inciso c), de la Ley 7969, </w:t>
      </w:r>
      <w:r w:rsidRPr="00FD636B">
        <w:rPr>
          <w:i/>
          <w:color w:val="000000"/>
        </w:rPr>
        <w:t>se da por agotada la vía administrativa</w:t>
      </w:r>
      <w:r w:rsidRPr="00FD636B">
        <w:rPr>
          <w:color w:val="000000"/>
        </w:rPr>
        <w:t xml:space="preserve">.  </w:t>
      </w:r>
      <w:r w:rsidR="003303FF" w:rsidRPr="00FD636B">
        <w:rPr>
          <w:b/>
          <w:color w:val="000000"/>
        </w:rPr>
        <w:t>NOTIFÍQUESE. -</w:t>
      </w:r>
    </w:p>
    <w:p w:rsidR="008C75B7" w:rsidRPr="00FD636B" w:rsidRDefault="008C75B7" w:rsidP="008C75B7">
      <w:pPr>
        <w:spacing w:line="276" w:lineRule="auto"/>
        <w:rPr>
          <w:color w:val="000000"/>
        </w:rPr>
      </w:pPr>
    </w:p>
    <w:p w:rsidR="003A63DB" w:rsidRPr="00FD636B" w:rsidRDefault="003A63DB" w:rsidP="008C75B7">
      <w:pPr>
        <w:spacing w:line="276" w:lineRule="auto"/>
        <w:rPr>
          <w:color w:val="000000"/>
        </w:rPr>
      </w:pPr>
    </w:p>
    <w:p w:rsidR="008C75B7" w:rsidRPr="00FD636B" w:rsidRDefault="008C75B7" w:rsidP="008C75B7">
      <w:pPr>
        <w:pStyle w:val="Ttulo1"/>
        <w:spacing w:line="276" w:lineRule="auto"/>
        <w:rPr>
          <w:b/>
          <w:color w:val="000000"/>
          <w:sz w:val="24"/>
          <w:szCs w:val="24"/>
          <w:lang w:val="es-CR"/>
        </w:rPr>
      </w:pPr>
      <w:r w:rsidRPr="00FD636B">
        <w:rPr>
          <w:color w:val="000000"/>
          <w:sz w:val="24"/>
          <w:szCs w:val="24"/>
          <w:lang w:val="es-CR"/>
        </w:rPr>
        <w:t xml:space="preserve">Lic. Carlos Miguel </w:t>
      </w:r>
      <w:proofErr w:type="spellStart"/>
      <w:r w:rsidRPr="00FD636B">
        <w:rPr>
          <w:color w:val="000000"/>
          <w:sz w:val="24"/>
          <w:szCs w:val="24"/>
          <w:lang w:val="es-CR"/>
        </w:rPr>
        <w:t>Portuguez</w:t>
      </w:r>
      <w:proofErr w:type="spellEnd"/>
      <w:r w:rsidRPr="00FD636B">
        <w:rPr>
          <w:color w:val="000000"/>
          <w:sz w:val="24"/>
          <w:szCs w:val="24"/>
          <w:lang w:val="es-CR"/>
        </w:rPr>
        <w:t xml:space="preserve"> Méndez</w:t>
      </w:r>
    </w:p>
    <w:p w:rsidR="008C75B7" w:rsidRPr="00FD636B" w:rsidRDefault="008C75B7" w:rsidP="008C75B7">
      <w:pPr>
        <w:pStyle w:val="Ttulo2"/>
        <w:spacing w:before="0" w:after="0" w:line="276" w:lineRule="auto"/>
        <w:jc w:val="center"/>
        <w:rPr>
          <w:rFonts w:ascii="Times New Roman" w:hAnsi="Times New Roman"/>
          <w:i w:val="0"/>
          <w:color w:val="000000"/>
          <w:sz w:val="24"/>
          <w:szCs w:val="24"/>
        </w:rPr>
      </w:pPr>
      <w:r w:rsidRPr="00FD636B">
        <w:rPr>
          <w:rFonts w:ascii="Times New Roman" w:hAnsi="Times New Roman"/>
          <w:color w:val="000000"/>
          <w:sz w:val="24"/>
          <w:szCs w:val="24"/>
        </w:rPr>
        <w:t>Presidente</w:t>
      </w:r>
    </w:p>
    <w:p w:rsidR="008C75B7" w:rsidRPr="00FD636B" w:rsidRDefault="008C75B7" w:rsidP="008C75B7">
      <w:pPr>
        <w:rPr>
          <w:color w:val="000000"/>
        </w:rPr>
      </w:pPr>
      <w:bookmarkStart w:id="0" w:name="_GoBack"/>
      <w:bookmarkEnd w:id="0"/>
    </w:p>
    <w:p w:rsidR="008C75B7" w:rsidRPr="00FD636B" w:rsidRDefault="008C75B7" w:rsidP="008C75B7">
      <w:pPr>
        <w:pStyle w:val="Ttulo1"/>
        <w:spacing w:line="276" w:lineRule="auto"/>
        <w:rPr>
          <w:b/>
          <w:color w:val="000000"/>
          <w:sz w:val="24"/>
          <w:szCs w:val="24"/>
          <w:lang w:val="es-CR"/>
        </w:rPr>
      </w:pPr>
      <w:r w:rsidRPr="00FD636B">
        <w:rPr>
          <w:color w:val="000000"/>
          <w:sz w:val="24"/>
          <w:szCs w:val="24"/>
          <w:lang w:val="es-CR"/>
        </w:rPr>
        <w:t>Licda.  Marta Luz Pérez Peláez</w:t>
      </w:r>
      <w:r w:rsidRPr="00FD636B">
        <w:rPr>
          <w:color w:val="000000"/>
          <w:sz w:val="24"/>
          <w:szCs w:val="24"/>
          <w:lang w:val="es-CR"/>
        </w:rPr>
        <w:tab/>
      </w:r>
      <w:r w:rsidRPr="00FD636B">
        <w:rPr>
          <w:color w:val="000000"/>
          <w:sz w:val="24"/>
          <w:szCs w:val="24"/>
          <w:lang w:val="es-CR"/>
        </w:rPr>
        <w:tab/>
      </w:r>
      <w:r w:rsidRPr="00FD636B">
        <w:rPr>
          <w:color w:val="000000"/>
          <w:sz w:val="24"/>
          <w:szCs w:val="24"/>
          <w:lang w:val="es-CR"/>
        </w:rPr>
        <w:tab/>
      </w:r>
      <w:r w:rsidRPr="00FD636B">
        <w:rPr>
          <w:color w:val="000000"/>
          <w:sz w:val="24"/>
          <w:szCs w:val="24"/>
          <w:lang w:val="es-CR"/>
        </w:rPr>
        <w:tab/>
        <w:t>Lic. Mario Quesada Aguirre</w:t>
      </w:r>
    </w:p>
    <w:p w:rsidR="008C75B7" w:rsidRPr="00FD636B" w:rsidRDefault="008C75B7" w:rsidP="008C75B7">
      <w:pPr>
        <w:spacing w:line="276" w:lineRule="auto"/>
        <w:ind w:firstLine="708"/>
        <w:rPr>
          <w:b/>
          <w:color w:val="000000"/>
        </w:rPr>
      </w:pPr>
      <w:r w:rsidRPr="00FD636B">
        <w:rPr>
          <w:b/>
          <w:color w:val="000000"/>
        </w:rPr>
        <w:t xml:space="preserve">        Jueza </w:t>
      </w:r>
      <w:r w:rsidRPr="00FD636B">
        <w:rPr>
          <w:b/>
          <w:color w:val="000000"/>
        </w:rPr>
        <w:tab/>
      </w:r>
      <w:r w:rsidRPr="00FD636B">
        <w:rPr>
          <w:b/>
          <w:color w:val="000000"/>
        </w:rPr>
        <w:tab/>
      </w:r>
      <w:r w:rsidRPr="00FD636B">
        <w:rPr>
          <w:b/>
          <w:color w:val="000000"/>
        </w:rPr>
        <w:tab/>
      </w:r>
      <w:r w:rsidRPr="00FD636B">
        <w:rPr>
          <w:b/>
          <w:color w:val="000000"/>
        </w:rPr>
        <w:tab/>
      </w:r>
      <w:r w:rsidRPr="00FD636B">
        <w:rPr>
          <w:b/>
          <w:color w:val="000000"/>
        </w:rPr>
        <w:tab/>
        <w:t xml:space="preserve">           </w:t>
      </w:r>
      <w:r w:rsidRPr="00FD636B">
        <w:rPr>
          <w:b/>
          <w:color w:val="000000"/>
        </w:rPr>
        <w:tab/>
      </w:r>
      <w:r w:rsidRPr="00FD636B">
        <w:rPr>
          <w:b/>
          <w:color w:val="000000"/>
        </w:rPr>
        <w:tab/>
        <w:t xml:space="preserve">         Juez</w:t>
      </w:r>
    </w:p>
    <w:p w:rsidR="00143B3D" w:rsidRPr="00FD636B" w:rsidRDefault="00143B3D" w:rsidP="005F18B0">
      <w:pPr>
        <w:spacing w:line="276" w:lineRule="auto"/>
        <w:jc w:val="both"/>
        <w:rPr>
          <w:b/>
          <w:color w:val="000000"/>
          <w:sz w:val="26"/>
          <w:szCs w:val="26"/>
        </w:rPr>
      </w:pPr>
    </w:p>
    <w:sectPr w:rsidR="00143B3D" w:rsidRPr="00FD636B" w:rsidSect="00D41C52">
      <w:headerReference w:type="default" r:id="rId8"/>
      <w:footerReference w:type="even" r:id="rId9"/>
      <w:footerReference w:type="default" r:id="rId10"/>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A80" w:rsidRDefault="008A5A80" w:rsidP="00512A1A">
      <w:r>
        <w:separator/>
      </w:r>
    </w:p>
  </w:endnote>
  <w:endnote w:type="continuationSeparator" w:id="0">
    <w:p w:rsidR="008A5A80" w:rsidRDefault="008A5A80" w:rsidP="0051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52" w:rsidRDefault="00D41C52" w:rsidP="00D41C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C52" w:rsidRDefault="00D41C52" w:rsidP="00D41C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52" w:rsidRPr="002F2BC8" w:rsidRDefault="00D41C52" w:rsidP="00D41C52">
    <w:pPr>
      <w:pStyle w:val="Piedepgina"/>
      <w:ind w:right="360"/>
      <w:rPr>
        <w:b/>
        <w:sz w:val="18"/>
        <w:szCs w:val="18"/>
        <w:lang w:val="es-MX"/>
      </w:rPr>
    </w:pPr>
    <w:r w:rsidRPr="002F2BC8">
      <w:rPr>
        <w:b/>
        <w:lang w:val="es-MX"/>
      </w:rPr>
      <w:t xml:space="preserve">                                                                                           </w:t>
    </w:r>
  </w:p>
  <w:p w:rsidR="00D41C52" w:rsidRDefault="00D41C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A80" w:rsidRDefault="008A5A80" w:rsidP="00512A1A">
      <w:r>
        <w:separator/>
      </w:r>
    </w:p>
  </w:footnote>
  <w:footnote w:type="continuationSeparator" w:id="0">
    <w:p w:rsidR="008A5A80" w:rsidRDefault="008A5A80" w:rsidP="0051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52" w:rsidRDefault="00D41C52" w:rsidP="00D41C5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7EA"/>
    <w:multiLevelType w:val="hybridMultilevel"/>
    <w:tmpl w:val="83B89570"/>
    <w:lvl w:ilvl="0" w:tplc="C57489F2">
      <w:numFmt w:val="bullet"/>
      <w:lvlText w:val="-"/>
      <w:lvlJc w:val="left"/>
      <w:pPr>
        <w:ind w:left="720" w:hanging="360"/>
      </w:pPr>
      <w:rPr>
        <w:rFonts w:ascii="Times New Roman" w:eastAsia="Times New Roman" w:hAnsi="Times New Roman" w:cs="Times New Roman" w:hint="default"/>
        <w:w w:val="105"/>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7F53FD"/>
    <w:multiLevelType w:val="hybridMultilevel"/>
    <w:tmpl w:val="7A92AA0C"/>
    <w:lvl w:ilvl="0" w:tplc="0A5822AA">
      <w:start w:val="1"/>
      <w:numFmt w:val="upperLetter"/>
      <w:lvlText w:val="%1."/>
      <w:lvlJc w:val="left"/>
      <w:pPr>
        <w:ind w:left="4897" w:hanging="360"/>
      </w:pPr>
      <w:rPr>
        <w:rFonts w:hint="default"/>
        <w:b/>
        <w:i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5054FA"/>
    <w:multiLevelType w:val="hybridMultilevel"/>
    <w:tmpl w:val="8204454A"/>
    <w:lvl w:ilvl="0" w:tplc="A8042FB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A8B1609"/>
    <w:multiLevelType w:val="hybridMultilevel"/>
    <w:tmpl w:val="144E788E"/>
    <w:lvl w:ilvl="0" w:tplc="DB4212B6">
      <w:start w:val="1"/>
      <w:numFmt w:val="upperLetter"/>
      <w:lvlText w:val="%1."/>
      <w:lvlJc w:val="left"/>
      <w:pPr>
        <w:ind w:left="720" w:hanging="360"/>
      </w:pPr>
      <w:rPr>
        <w:rFonts w:ascii="Times New Roman" w:eastAsia="Times New Roman" w:hAnsi="Times New Roman" w:cs="Times New Roman"/>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8CF606C"/>
    <w:multiLevelType w:val="hybridMultilevel"/>
    <w:tmpl w:val="DC64814E"/>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B3D"/>
    <w:rsid w:val="000026BB"/>
    <w:rsid w:val="000031B4"/>
    <w:rsid w:val="00010046"/>
    <w:rsid w:val="00014D23"/>
    <w:rsid w:val="00015961"/>
    <w:rsid w:val="000165A4"/>
    <w:rsid w:val="00027BA1"/>
    <w:rsid w:val="00035F18"/>
    <w:rsid w:val="00036E22"/>
    <w:rsid w:val="00037591"/>
    <w:rsid w:val="00040985"/>
    <w:rsid w:val="00040B34"/>
    <w:rsid w:val="00040C70"/>
    <w:rsid w:val="00041EEC"/>
    <w:rsid w:val="00042106"/>
    <w:rsid w:val="000476DD"/>
    <w:rsid w:val="000523C1"/>
    <w:rsid w:val="000546BB"/>
    <w:rsid w:val="00054863"/>
    <w:rsid w:val="00056C5B"/>
    <w:rsid w:val="00057556"/>
    <w:rsid w:val="00057D24"/>
    <w:rsid w:val="00062972"/>
    <w:rsid w:val="00063386"/>
    <w:rsid w:val="00065F2F"/>
    <w:rsid w:val="00077D37"/>
    <w:rsid w:val="00077E37"/>
    <w:rsid w:val="0008248E"/>
    <w:rsid w:val="000837CC"/>
    <w:rsid w:val="00092BCC"/>
    <w:rsid w:val="00095481"/>
    <w:rsid w:val="00095896"/>
    <w:rsid w:val="000A2029"/>
    <w:rsid w:val="000A21E3"/>
    <w:rsid w:val="000A2B85"/>
    <w:rsid w:val="000A2E71"/>
    <w:rsid w:val="000B4358"/>
    <w:rsid w:val="000B448C"/>
    <w:rsid w:val="000B65E0"/>
    <w:rsid w:val="000C03D1"/>
    <w:rsid w:val="000C4424"/>
    <w:rsid w:val="000C4659"/>
    <w:rsid w:val="000C6910"/>
    <w:rsid w:val="000C76F8"/>
    <w:rsid w:val="000D30BE"/>
    <w:rsid w:val="000D3E70"/>
    <w:rsid w:val="000D7EE8"/>
    <w:rsid w:val="000E7EBA"/>
    <w:rsid w:val="000F075A"/>
    <w:rsid w:val="000F0CF2"/>
    <w:rsid w:val="000F2D1F"/>
    <w:rsid w:val="000F5597"/>
    <w:rsid w:val="000F5D48"/>
    <w:rsid w:val="000F6E31"/>
    <w:rsid w:val="00101E66"/>
    <w:rsid w:val="00103C59"/>
    <w:rsid w:val="00104F92"/>
    <w:rsid w:val="001065F0"/>
    <w:rsid w:val="00107E78"/>
    <w:rsid w:val="00110DF2"/>
    <w:rsid w:val="00111691"/>
    <w:rsid w:val="00111A6B"/>
    <w:rsid w:val="0011225A"/>
    <w:rsid w:val="00112DA0"/>
    <w:rsid w:val="00114DD8"/>
    <w:rsid w:val="001238CE"/>
    <w:rsid w:val="00123F57"/>
    <w:rsid w:val="00124D5C"/>
    <w:rsid w:val="001274A6"/>
    <w:rsid w:val="00130C32"/>
    <w:rsid w:val="00131490"/>
    <w:rsid w:val="00131697"/>
    <w:rsid w:val="0013214F"/>
    <w:rsid w:val="00135046"/>
    <w:rsid w:val="001350A9"/>
    <w:rsid w:val="0013705C"/>
    <w:rsid w:val="00143B3D"/>
    <w:rsid w:val="00143FBB"/>
    <w:rsid w:val="00147137"/>
    <w:rsid w:val="00150891"/>
    <w:rsid w:val="0015442B"/>
    <w:rsid w:val="001602F3"/>
    <w:rsid w:val="001621ED"/>
    <w:rsid w:val="0016235E"/>
    <w:rsid w:val="00162B7D"/>
    <w:rsid w:val="00163FEB"/>
    <w:rsid w:val="00164588"/>
    <w:rsid w:val="00164F8D"/>
    <w:rsid w:val="00170BE0"/>
    <w:rsid w:val="001717AF"/>
    <w:rsid w:val="0017407A"/>
    <w:rsid w:val="001752B5"/>
    <w:rsid w:val="001766E0"/>
    <w:rsid w:val="001768F4"/>
    <w:rsid w:val="00182570"/>
    <w:rsid w:val="00182840"/>
    <w:rsid w:val="00184FB8"/>
    <w:rsid w:val="00185B74"/>
    <w:rsid w:val="001862AA"/>
    <w:rsid w:val="0019206F"/>
    <w:rsid w:val="00193DCC"/>
    <w:rsid w:val="001950AA"/>
    <w:rsid w:val="00196894"/>
    <w:rsid w:val="001978E8"/>
    <w:rsid w:val="001A211A"/>
    <w:rsid w:val="001A4CF5"/>
    <w:rsid w:val="001B059B"/>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2DD0"/>
    <w:rsid w:val="001E50D8"/>
    <w:rsid w:val="001F3571"/>
    <w:rsid w:val="001F67E9"/>
    <w:rsid w:val="001F7B17"/>
    <w:rsid w:val="00201B8C"/>
    <w:rsid w:val="00202171"/>
    <w:rsid w:val="00202172"/>
    <w:rsid w:val="00214996"/>
    <w:rsid w:val="00215899"/>
    <w:rsid w:val="00216160"/>
    <w:rsid w:val="00223F4D"/>
    <w:rsid w:val="00223F93"/>
    <w:rsid w:val="002272A1"/>
    <w:rsid w:val="00230D04"/>
    <w:rsid w:val="0023226C"/>
    <w:rsid w:val="00234786"/>
    <w:rsid w:val="00235216"/>
    <w:rsid w:val="00236072"/>
    <w:rsid w:val="00236931"/>
    <w:rsid w:val="00236DB6"/>
    <w:rsid w:val="002425EB"/>
    <w:rsid w:val="002429B1"/>
    <w:rsid w:val="00242D75"/>
    <w:rsid w:val="0024399F"/>
    <w:rsid w:val="00243CC4"/>
    <w:rsid w:val="00244534"/>
    <w:rsid w:val="00244C9C"/>
    <w:rsid w:val="002476CF"/>
    <w:rsid w:val="0025389E"/>
    <w:rsid w:val="00256163"/>
    <w:rsid w:val="00257721"/>
    <w:rsid w:val="00257CFE"/>
    <w:rsid w:val="0026101A"/>
    <w:rsid w:val="00264294"/>
    <w:rsid w:val="0027023F"/>
    <w:rsid w:val="00272BD1"/>
    <w:rsid w:val="00273628"/>
    <w:rsid w:val="0027430F"/>
    <w:rsid w:val="002744D6"/>
    <w:rsid w:val="00281B49"/>
    <w:rsid w:val="00284475"/>
    <w:rsid w:val="00284D51"/>
    <w:rsid w:val="00287778"/>
    <w:rsid w:val="00290B45"/>
    <w:rsid w:val="00291D12"/>
    <w:rsid w:val="00293654"/>
    <w:rsid w:val="00293EF6"/>
    <w:rsid w:val="002941AF"/>
    <w:rsid w:val="002950E4"/>
    <w:rsid w:val="0029642E"/>
    <w:rsid w:val="002964F8"/>
    <w:rsid w:val="00297208"/>
    <w:rsid w:val="002976B1"/>
    <w:rsid w:val="002A10C6"/>
    <w:rsid w:val="002A1559"/>
    <w:rsid w:val="002A2806"/>
    <w:rsid w:val="002A5B8F"/>
    <w:rsid w:val="002A72AD"/>
    <w:rsid w:val="002B04F5"/>
    <w:rsid w:val="002B1303"/>
    <w:rsid w:val="002B1D89"/>
    <w:rsid w:val="002B2C69"/>
    <w:rsid w:val="002B54D8"/>
    <w:rsid w:val="002C1D8A"/>
    <w:rsid w:val="002C23AE"/>
    <w:rsid w:val="002C336C"/>
    <w:rsid w:val="002C4DB3"/>
    <w:rsid w:val="002C50FA"/>
    <w:rsid w:val="002D1242"/>
    <w:rsid w:val="002D35D0"/>
    <w:rsid w:val="002D495F"/>
    <w:rsid w:val="002D5321"/>
    <w:rsid w:val="002D591B"/>
    <w:rsid w:val="002D6CFF"/>
    <w:rsid w:val="002D6F4C"/>
    <w:rsid w:val="002D7C36"/>
    <w:rsid w:val="002E0E69"/>
    <w:rsid w:val="002E74C0"/>
    <w:rsid w:val="002F2BC8"/>
    <w:rsid w:val="002F336B"/>
    <w:rsid w:val="002F4F56"/>
    <w:rsid w:val="002F6700"/>
    <w:rsid w:val="00301092"/>
    <w:rsid w:val="00302C48"/>
    <w:rsid w:val="003040D2"/>
    <w:rsid w:val="00306070"/>
    <w:rsid w:val="003071BB"/>
    <w:rsid w:val="00310F07"/>
    <w:rsid w:val="00315CCF"/>
    <w:rsid w:val="00315DDE"/>
    <w:rsid w:val="0031647A"/>
    <w:rsid w:val="00320697"/>
    <w:rsid w:val="00321A57"/>
    <w:rsid w:val="00321E9D"/>
    <w:rsid w:val="00322BEA"/>
    <w:rsid w:val="003247CE"/>
    <w:rsid w:val="00324A3F"/>
    <w:rsid w:val="00324A41"/>
    <w:rsid w:val="0032571F"/>
    <w:rsid w:val="0032685F"/>
    <w:rsid w:val="00327E47"/>
    <w:rsid w:val="00330084"/>
    <w:rsid w:val="003303FF"/>
    <w:rsid w:val="0033359F"/>
    <w:rsid w:val="00334FCD"/>
    <w:rsid w:val="00335FEA"/>
    <w:rsid w:val="00336ACB"/>
    <w:rsid w:val="00336B3E"/>
    <w:rsid w:val="0034046E"/>
    <w:rsid w:val="00340626"/>
    <w:rsid w:val="00346AEA"/>
    <w:rsid w:val="003515EA"/>
    <w:rsid w:val="00356E9A"/>
    <w:rsid w:val="003571CD"/>
    <w:rsid w:val="00360BF9"/>
    <w:rsid w:val="0036211D"/>
    <w:rsid w:val="003622B2"/>
    <w:rsid w:val="003636EF"/>
    <w:rsid w:val="00366508"/>
    <w:rsid w:val="00367700"/>
    <w:rsid w:val="0037026C"/>
    <w:rsid w:val="00370C67"/>
    <w:rsid w:val="00372A96"/>
    <w:rsid w:val="00373382"/>
    <w:rsid w:val="00375AA1"/>
    <w:rsid w:val="003808C3"/>
    <w:rsid w:val="00381179"/>
    <w:rsid w:val="00384098"/>
    <w:rsid w:val="003847B1"/>
    <w:rsid w:val="00384A8B"/>
    <w:rsid w:val="00385869"/>
    <w:rsid w:val="003877A0"/>
    <w:rsid w:val="00390E7F"/>
    <w:rsid w:val="0039300B"/>
    <w:rsid w:val="00396E8D"/>
    <w:rsid w:val="003A1401"/>
    <w:rsid w:val="003A16FB"/>
    <w:rsid w:val="003A23E6"/>
    <w:rsid w:val="003A49A2"/>
    <w:rsid w:val="003A63DB"/>
    <w:rsid w:val="003B43B4"/>
    <w:rsid w:val="003B474A"/>
    <w:rsid w:val="003B62BF"/>
    <w:rsid w:val="003C06F4"/>
    <w:rsid w:val="003C0A31"/>
    <w:rsid w:val="003C122A"/>
    <w:rsid w:val="003C4659"/>
    <w:rsid w:val="003C4D9D"/>
    <w:rsid w:val="003C5C0F"/>
    <w:rsid w:val="003C6CE1"/>
    <w:rsid w:val="003D0423"/>
    <w:rsid w:val="003D0DE6"/>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0EB7"/>
    <w:rsid w:val="00412189"/>
    <w:rsid w:val="004130E4"/>
    <w:rsid w:val="0041796F"/>
    <w:rsid w:val="00420AA6"/>
    <w:rsid w:val="004210AF"/>
    <w:rsid w:val="004212D4"/>
    <w:rsid w:val="00421674"/>
    <w:rsid w:val="004224EA"/>
    <w:rsid w:val="0042266B"/>
    <w:rsid w:val="00422D20"/>
    <w:rsid w:val="00424840"/>
    <w:rsid w:val="00425D77"/>
    <w:rsid w:val="004260C9"/>
    <w:rsid w:val="00427E90"/>
    <w:rsid w:val="0043072F"/>
    <w:rsid w:val="00430A9D"/>
    <w:rsid w:val="00433BB2"/>
    <w:rsid w:val="00434912"/>
    <w:rsid w:val="0043560F"/>
    <w:rsid w:val="0043610D"/>
    <w:rsid w:val="00437CA7"/>
    <w:rsid w:val="0044003D"/>
    <w:rsid w:val="00440855"/>
    <w:rsid w:val="00442B18"/>
    <w:rsid w:val="004438B9"/>
    <w:rsid w:val="004455D2"/>
    <w:rsid w:val="00446BCA"/>
    <w:rsid w:val="0045140A"/>
    <w:rsid w:val="00455AA6"/>
    <w:rsid w:val="00457135"/>
    <w:rsid w:val="00460D0C"/>
    <w:rsid w:val="0046119E"/>
    <w:rsid w:val="004625DD"/>
    <w:rsid w:val="00466B3D"/>
    <w:rsid w:val="0047280B"/>
    <w:rsid w:val="00473CD8"/>
    <w:rsid w:val="00480450"/>
    <w:rsid w:val="00484BB1"/>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0F6F"/>
    <w:rsid w:val="004F38E6"/>
    <w:rsid w:val="004F477D"/>
    <w:rsid w:val="0050199D"/>
    <w:rsid w:val="00502085"/>
    <w:rsid w:val="00502724"/>
    <w:rsid w:val="00506323"/>
    <w:rsid w:val="00507342"/>
    <w:rsid w:val="00510850"/>
    <w:rsid w:val="00512A1A"/>
    <w:rsid w:val="00514487"/>
    <w:rsid w:val="00517306"/>
    <w:rsid w:val="005227E1"/>
    <w:rsid w:val="00531421"/>
    <w:rsid w:val="00531FC4"/>
    <w:rsid w:val="0053360D"/>
    <w:rsid w:val="00535FC3"/>
    <w:rsid w:val="005366E7"/>
    <w:rsid w:val="00537350"/>
    <w:rsid w:val="00537757"/>
    <w:rsid w:val="00542C23"/>
    <w:rsid w:val="00542CBA"/>
    <w:rsid w:val="00543706"/>
    <w:rsid w:val="005448D6"/>
    <w:rsid w:val="005510CE"/>
    <w:rsid w:val="00551954"/>
    <w:rsid w:val="00552AC9"/>
    <w:rsid w:val="0055382E"/>
    <w:rsid w:val="00555624"/>
    <w:rsid w:val="005636E3"/>
    <w:rsid w:val="00563A78"/>
    <w:rsid w:val="00564640"/>
    <w:rsid w:val="00564F60"/>
    <w:rsid w:val="00571F67"/>
    <w:rsid w:val="00572249"/>
    <w:rsid w:val="00572DA3"/>
    <w:rsid w:val="00574F7A"/>
    <w:rsid w:val="0058035C"/>
    <w:rsid w:val="00580E92"/>
    <w:rsid w:val="0058113C"/>
    <w:rsid w:val="00583A16"/>
    <w:rsid w:val="00583BCE"/>
    <w:rsid w:val="00585D6B"/>
    <w:rsid w:val="00594BE3"/>
    <w:rsid w:val="00596610"/>
    <w:rsid w:val="005968F3"/>
    <w:rsid w:val="00597324"/>
    <w:rsid w:val="005A0C87"/>
    <w:rsid w:val="005A3AB3"/>
    <w:rsid w:val="005A4C53"/>
    <w:rsid w:val="005A6651"/>
    <w:rsid w:val="005B2E14"/>
    <w:rsid w:val="005C205A"/>
    <w:rsid w:val="005C27EC"/>
    <w:rsid w:val="005C2D2A"/>
    <w:rsid w:val="005C30D7"/>
    <w:rsid w:val="005C6AB6"/>
    <w:rsid w:val="005C721F"/>
    <w:rsid w:val="005D038F"/>
    <w:rsid w:val="005D1A18"/>
    <w:rsid w:val="005D26FB"/>
    <w:rsid w:val="005D294C"/>
    <w:rsid w:val="005D2F7A"/>
    <w:rsid w:val="005D366D"/>
    <w:rsid w:val="005D3C69"/>
    <w:rsid w:val="005D3E58"/>
    <w:rsid w:val="005E130F"/>
    <w:rsid w:val="005E171D"/>
    <w:rsid w:val="005E5A33"/>
    <w:rsid w:val="005E6751"/>
    <w:rsid w:val="005F18B0"/>
    <w:rsid w:val="005F5E47"/>
    <w:rsid w:val="00601A40"/>
    <w:rsid w:val="006029A5"/>
    <w:rsid w:val="00604BB2"/>
    <w:rsid w:val="00605A68"/>
    <w:rsid w:val="006063D0"/>
    <w:rsid w:val="006067F3"/>
    <w:rsid w:val="0060682D"/>
    <w:rsid w:val="006112DB"/>
    <w:rsid w:val="00611F6E"/>
    <w:rsid w:val="006120CC"/>
    <w:rsid w:val="0061310E"/>
    <w:rsid w:val="00614466"/>
    <w:rsid w:val="006169D8"/>
    <w:rsid w:val="0062032F"/>
    <w:rsid w:val="006220E1"/>
    <w:rsid w:val="0062378C"/>
    <w:rsid w:val="00623806"/>
    <w:rsid w:val="00627002"/>
    <w:rsid w:val="00631B90"/>
    <w:rsid w:val="00637A3A"/>
    <w:rsid w:val="00637B92"/>
    <w:rsid w:val="00640C1A"/>
    <w:rsid w:val="006410B6"/>
    <w:rsid w:val="006425E9"/>
    <w:rsid w:val="00646778"/>
    <w:rsid w:val="00647D4F"/>
    <w:rsid w:val="00655B2C"/>
    <w:rsid w:val="00657A5A"/>
    <w:rsid w:val="006600E6"/>
    <w:rsid w:val="00664841"/>
    <w:rsid w:val="0066518B"/>
    <w:rsid w:val="0066632B"/>
    <w:rsid w:val="006667EF"/>
    <w:rsid w:val="0067038F"/>
    <w:rsid w:val="006723D7"/>
    <w:rsid w:val="00672F10"/>
    <w:rsid w:val="0067514B"/>
    <w:rsid w:val="006815C3"/>
    <w:rsid w:val="00682F5D"/>
    <w:rsid w:val="00684A36"/>
    <w:rsid w:val="00687C62"/>
    <w:rsid w:val="00693230"/>
    <w:rsid w:val="00693882"/>
    <w:rsid w:val="0069797C"/>
    <w:rsid w:val="006A1B23"/>
    <w:rsid w:val="006A326F"/>
    <w:rsid w:val="006A36CF"/>
    <w:rsid w:val="006B2563"/>
    <w:rsid w:val="006B757A"/>
    <w:rsid w:val="006B76B2"/>
    <w:rsid w:val="006C109F"/>
    <w:rsid w:val="006C382B"/>
    <w:rsid w:val="006C4A15"/>
    <w:rsid w:val="006C526B"/>
    <w:rsid w:val="006C5D64"/>
    <w:rsid w:val="006C60E0"/>
    <w:rsid w:val="006C7247"/>
    <w:rsid w:val="006D2975"/>
    <w:rsid w:val="006D3624"/>
    <w:rsid w:val="006D50B2"/>
    <w:rsid w:val="006D69DE"/>
    <w:rsid w:val="006D6A51"/>
    <w:rsid w:val="006E0728"/>
    <w:rsid w:val="006E6689"/>
    <w:rsid w:val="006E77E6"/>
    <w:rsid w:val="006F0A62"/>
    <w:rsid w:val="006F14BA"/>
    <w:rsid w:val="006F2252"/>
    <w:rsid w:val="006F4BD9"/>
    <w:rsid w:val="006F7A66"/>
    <w:rsid w:val="00701409"/>
    <w:rsid w:val="00702DCB"/>
    <w:rsid w:val="007048DC"/>
    <w:rsid w:val="00705865"/>
    <w:rsid w:val="007128C6"/>
    <w:rsid w:val="00715DDD"/>
    <w:rsid w:val="00717D5F"/>
    <w:rsid w:val="007202F5"/>
    <w:rsid w:val="0072603C"/>
    <w:rsid w:val="00726F10"/>
    <w:rsid w:val="00727069"/>
    <w:rsid w:val="00731055"/>
    <w:rsid w:val="007353B5"/>
    <w:rsid w:val="0074092B"/>
    <w:rsid w:val="00746172"/>
    <w:rsid w:val="007477BA"/>
    <w:rsid w:val="00750FF6"/>
    <w:rsid w:val="00751DDB"/>
    <w:rsid w:val="00752578"/>
    <w:rsid w:val="0075349A"/>
    <w:rsid w:val="00756D54"/>
    <w:rsid w:val="0076450B"/>
    <w:rsid w:val="007670AB"/>
    <w:rsid w:val="00772AF2"/>
    <w:rsid w:val="00773152"/>
    <w:rsid w:val="007777B4"/>
    <w:rsid w:val="0077789F"/>
    <w:rsid w:val="00780D1F"/>
    <w:rsid w:val="00781C3F"/>
    <w:rsid w:val="00783BA2"/>
    <w:rsid w:val="00785E3D"/>
    <w:rsid w:val="00786350"/>
    <w:rsid w:val="00786B8C"/>
    <w:rsid w:val="007873E8"/>
    <w:rsid w:val="00791AF3"/>
    <w:rsid w:val="00795AC9"/>
    <w:rsid w:val="0079782D"/>
    <w:rsid w:val="00797881"/>
    <w:rsid w:val="007A16A2"/>
    <w:rsid w:val="007A17F3"/>
    <w:rsid w:val="007A46E2"/>
    <w:rsid w:val="007A4CA9"/>
    <w:rsid w:val="007B29D6"/>
    <w:rsid w:val="007B43A1"/>
    <w:rsid w:val="007B7858"/>
    <w:rsid w:val="007B79D9"/>
    <w:rsid w:val="007C5C88"/>
    <w:rsid w:val="007D62CA"/>
    <w:rsid w:val="007D63CA"/>
    <w:rsid w:val="007D736F"/>
    <w:rsid w:val="007E2DC9"/>
    <w:rsid w:val="007E2E6B"/>
    <w:rsid w:val="007E31B5"/>
    <w:rsid w:val="007E6F28"/>
    <w:rsid w:val="007E729A"/>
    <w:rsid w:val="00800A07"/>
    <w:rsid w:val="00800E02"/>
    <w:rsid w:val="00805E9E"/>
    <w:rsid w:val="0080632A"/>
    <w:rsid w:val="0080692B"/>
    <w:rsid w:val="00811CC2"/>
    <w:rsid w:val="00812843"/>
    <w:rsid w:val="00812C25"/>
    <w:rsid w:val="00812CF5"/>
    <w:rsid w:val="00812D56"/>
    <w:rsid w:val="008139AA"/>
    <w:rsid w:val="00815F08"/>
    <w:rsid w:val="00816107"/>
    <w:rsid w:val="008216B6"/>
    <w:rsid w:val="00821ECA"/>
    <w:rsid w:val="00822294"/>
    <w:rsid w:val="00824321"/>
    <w:rsid w:val="00827DDC"/>
    <w:rsid w:val="008303B6"/>
    <w:rsid w:val="00830958"/>
    <w:rsid w:val="008333AD"/>
    <w:rsid w:val="00834140"/>
    <w:rsid w:val="0083796C"/>
    <w:rsid w:val="00841380"/>
    <w:rsid w:val="008457EF"/>
    <w:rsid w:val="008524C1"/>
    <w:rsid w:val="00854F21"/>
    <w:rsid w:val="0086107B"/>
    <w:rsid w:val="008614F0"/>
    <w:rsid w:val="0086376E"/>
    <w:rsid w:val="0086630F"/>
    <w:rsid w:val="008667EB"/>
    <w:rsid w:val="00874E1F"/>
    <w:rsid w:val="00875CD2"/>
    <w:rsid w:val="00877EB3"/>
    <w:rsid w:val="00880E68"/>
    <w:rsid w:val="00881340"/>
    <w:rsid w:val="00885DB1"/>
    <w:rsid w:val="00886009"/>
    <w:rsid w:val="008914DE"/>
    <w:rsid w:val="00892D8C"/>
    <w:rsid w:val="00894EE0"/>
    <w:rsid w:val="008950FA"/>
    <w:rsid w:val="00895974"/>
    <w:rsid w:val="00896581"/>
    <w:rsid w:val="008A048E"/>
    <w:rsid w:val="008A125F"/>
    <w:rsid w:val="008A1CE6"/>
    <w:rsid w:val="008A25ED"/>
    <w:rsid w:val="008A3279"/>
    <w:rsid w:val="008A4BB4"/>
    <w:rsid w:val="008A5A80"/>
    <w:rsid w:val="008B153F"/>
    <w:rsid w:val="008B1C91"/>
    <w:rsid w:val="008B264E"/>
    <w:rsid w:val="008B281D"/>
    <w:rsid w:val="008B2D7D"/>
    <w:rsid w:val="008B3517"/>
    <w:rsid w:val="008B3C61"/>
    <w:rsid w:val="008B4359"/>
    <w:rsid w:val="008B5091"/>
    <w:rsid w:val="008B65CE"/>
    <w:rsid w:val="008C2169"/>
    <w:rsid w:val="008C3E5B"/>
    <w:rsid w:val="008C637E"/>
    <w:rsid w:val="008C75B7"/>
    <w:rsid w:val="008C77B6"/>
    <w:rsid w:val="008D08C3"/>
    <w:rsid w:val="008D16EE"/>
    <w:rsid w:val="008D230D"/>
    <w:rsid w:val="008D242C"/>
    <w:rsid w:val="008D33D1"/>
    <w:rsid w:val="008E00D6"/>
    <w:rsid w:val="008E13B6"/>
    <w:rsid w:val="008E2184"/>
    <w:rsid w:val="008E2F39"/>
    <w:rsid w:val="008E5616"/>
    <w:rsid w:val="008E564C"/>
    <w:rsid w:val="008E5982"/>
    <w:rsid w:val="00900D7B"/>
    <w:rsid w:val="00902185"/>
    <w:rsid w:val="00905061"/>
    <w:rsid w:val="00906801"/>
    <w:rsid w:val="00907A7C"/>
    <w:rsid w:val="00910270"/>
    <w:rsid w:val="00910621"/>
    <w:rsid w:val="00911683"/>
    <w:rsid w:val="00911C98"/>
    <w:rsid w:val="009134D1"/>
    <w:rsid w:val="00913B02"/>
    <w:rsid w:val="00913F43"/>
    <w:rsid w:val="009142C4"/>
    <w:rsid w:val="00921FDD"/>
    <w:rsid w:val="00924F68"/>
    <w:rsid w:val="00927391"/>
    <w:rsid w:val="009305D1"/>
    <w:rsid w:val="009310D5"/>
    <w:rsid w:val="00932A2C"/>
    <w:rsid w:val="009340F1"/>
    <w:rsid w:val="00934EAB"/>
    <w:rsid w:val="00940CBC"/>
    <w:rsid w:val="00943D4A"/>
    <w:rsid w:val="00944EC8"/>
    <w:rsid w:val="009459B3"/>
    <w:rsid w:val="00946857"/>
    <w:rsid w:val="00947E8E"/>
    <w:rsid w:val="00950795"/>
    <w:rsid w:val="009510FC"/>
    <w:rsid w:val="00952D79"/>
    <w:rsid w:val="0095785E"/>
    <w:rsid w:val="00960582"/>
    <w:rsid w:val="00961769"/>
    <w:rsid w:val="00961CC1"/>
    <w:rsid w:val="00961F6A"/>
    <w:rsid w:val="00963201"/>
    <w:rsid w:val="009632EE"/>
    <w:rsid w:val="009635AA"/>
    <w:rsid w:val="0097136B"/>
    <w:rsid w:val="00971CEF"/>
    <w:rsid w:val="00973674"/>
    <w:rsid w:val="00983502"/>
    <w:rsid w:val="009838F3"/>
    <w:rsid w:val="00985D75"/>
    <w:rsid w:val="00986BBB"/>
    <w:rsid w:val="00986D84"/>
    <w:rsid w:val="00987501"/>
    <w:rsid w:val="00987AB1"/>
    <w:rsid w:val="00990E78"/>
    <w:rsid w:val="009912FA"/>
    <w:rsid w:val="00991301"/>
    <w:rsid w:val="00993959"/>
    <w:rsid w:val="009945DF"/>
    <w:rsid w:val="009976AD"/>
    <w:rsid w:val="009A0599"/>
    <w:rsid w:val="009A18E7"/>
    <w:rsid w:val="009A3414"/>
    <w:rsid w:val="009A350F"/>
    <w:rsid w:val="009A36B4"/>
    <w:rsid w:val="009A46A7"/>
    <w:rsid w:val="009A60A9"/>
    <w:rsid w:val="009A7B30"/>
    <w:rsid w:val="009B1DB1"/>
    <w:rsid w:val="009B3E13"/>
    <w:rsid w:val="009B4163"/>
    <w:rsid w:val="009B451A"/>
    <w:rsid w:val="009B5F6A"/>
    <w:rsid w:val="009B6C96"/>
    <w:rsid w:val="009C0D6E"/>
    <w:rsid w:val="009C1198"/>
    <w:rsid w:val="009C67B2"/>
    <w:rsid w:val="009D042C"/>
    <w:rsid w:val="009D09D6"/>
    <w:rsid w:val="009D195F"/>
    <w:rsid w:val="009D2706"/>
    <w:rsid w:val="009D4460"/>
    <w:rsid w:val="009D604E"/>
    <w:rsid w:val="009E10E7"/>
    <w:rsid w:val="009E3671"/>
    <w:rsid w:val="009E405A"/>
    <w:rsid w:val="009E6C90"/>
    <w:rsid w:val="009E6F52"/>
    <w:rsid w:val="009F2197"/>
    <w:rsid w:val="009F42AA"/>
    <w:rsid w:val="009F4328"/>
    <w:rsid w:val="00A010C6"/>
    <w:rsid w:val="00A02C99"/>
    <w:rsid w:val="00A039AB"/>
    <w:rsid w:val="00A0413D"/>
    <w:rsid w:val="00A0686F"/>
    <w:rsid w:val="00A074C9"/>
    <w:rsid w:val="00A074CB"/>
    <w:rsid w:val="00A11502"/>
    <w:rsid w:val="00A14BA7"/>
    <w:rsid w:val="00A2020F"/>
    <w:rsid w:val="00A21259"/>
    <w:rsid w:val="00A246A8"/>
    <w:rsid w:val="00A25C80"/>
    <w:rsid w:val="00A262CD"/>
    <w:rsid w:val="00A31EA5"/>
    <w:rsid w:val="00A34350"/>
    <w:rsid w:val="00A35DD6"/>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6AE"/>
    <w:rsid w:val="00A539A2"/>
    <w:rsid w:val="00A56E3C"/>
    <w:rsid w:val="00A57BC9"/>
    <w:rsid w:val="00A606CD"/>
    <w:rsid w:val="00A6133F"/>
    <w:rsid w:val="00A64653"/>
    <w:rsid w:val="00A64F96"/>
    <w:rsid w:val="00A65381"/>
    <w:rsid w:val="00A67496"/>
    <w:rsid w:val="00A752D7"/>
    <w:rsid w:val="00A76581"/>
    <w:rsid w:val="00A77EC8"/>
    <w:rsid w:val="00A77FFC"/>
    <w:rsid w:val="00A8026A"/>
    <w:rsid w:val="00A81290"/>
    <w:rsid w:val="00A8440D"/>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5278"/>
    <w:rsid w:val="00AE6E00"/>
    <w:rsid w:val="00AF2BAF"/>
    <w:rsid w:val="00AF3493"/>
    <w:rsid w:val="00AF3751"/>
    <w:rsid w:val="00AF3C2B"/>
    <w:rsid w:val="00AF56B0"/>
    <w:rsid w:val="00AF5CB2"/>
    <w:rsid w:val="00B00DC5"/>
    <w:rsid w:val="00B035CC"/>
    <w:rsid w:val="00B03998"/>
    <w:rsid w:val="00B04D93"/>
    <w:rsid w:val="00B055F8"/>
    <w:rsid w:val="00B06A86"/>
    <w:rsid w:val="00B07C69"/>
    <w:rsid w:val="00B122E6"/>
    <w:rsid w:val="00B22CE0"/>
    <w:rsid w:val="00B26B59"/>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342F"/>
    <w:rsid w:val="00B54E87"/>
    <w:rsid w:val="00B55670"/>
    <w:rsid w:val="00B60AE0"/>
    <w:rsid w:val="00B60F41"/>
    <w:rsid w:val="00B622A0"/>
    <w:rsid w:val="00B654DC"/>
    <w:rsid w:val="00B71A23"/>
    <w:rsid w:val="00B7252B"/>
    <w:rsid w:val="00B747EA"/>
    <w:rsid w:val="00B769EC"/>
    <w:rsid w:val="00B82377"/>
    <w:rsid w:val="00B826F3"/>
    <w:rsid w:val="00B82CC3"/>
    <w:rsid w:val="00B83356"/>
    <w:rsid w:val="00B85C16"/>
    <w:rsid w:val="00B91924"/>
    <w:rsid w:val="00B93BD4"/>
    <w:rsid w:val="00B93E2D"/>
    <w:rsid w:val="00B941E9"/>
    <w:rsid w:val="00B957E1"/>
    <w:rsid w:val="00B96AF5"/>
    <w:rsid w:val="00B9716A"/>
    <w:rsid w:val="00B97628"/>
    <w:rsid w:val="00BA19C4"/>
    <w:rsid w:val="00BA2E24"/>
    <w:rsid w:val="00BA3CF2"/>
    <w:rsid w:val="00BA44E6"/>
    <w:rsid w:val="00BA4EF4"/>
    <w:rsid w:val="00BA66DA"/>
    <w:rsid w:val="00BA7A43"/>
    <w:rsid w:val="00BB1429"/>
    <w:rsid w:val="00BB3756"/>
    <w:rsid w:val="00BB5CF7"/>
    <w:rsid w:val="00BB7218"/>
    <w:rsid w:val="00BB72C9"/>
    <w:rsid w:val="00BC0338"/>
    <w:rsid w:val="00BC494F"/>
    <w:rsid w:val="00BC5937"/>
    <w:rsid w:val="00BC5CF6"/>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2107"/>
    <w:rsid w:val="00C32322"/>
    <w:rsid w:val="00C3338E"/>
    <w:rsid w:val="00C3422C"/>
    <w:rsid w:val="00C35195"/>
    <w:rsid w:val="00C436DF"/>
    <w:rsid w:val="00C4715A"/>
    <w:rsid w:val="00C502AA"/>
    <w:rsid w:val="00C50E98"/>
    <w:rsid w:val="00C510CF"/>
    <w:rsid w:val="00C54E79"/>
    <w:rsid w:val="00C55851"/>
    <w:rsid w:val="00C55A1D"/>
    <w:rsid w:val="00C572C1"/>
    <w:rsid w:val="00C65607"/>
    <w:rsid w:val="00C656B2"/>
    <w:rsid w:val="00C74BB1"/>
    <w:rsid w:val="00C7592A"/>
    <w:rsid w:val="00C75C96"/>
    <w:rsid w:val="00C773AC"/>
    <w:rsid w:val="00C80401"/>
    <w:rsid w:val="00C820D5"/>
    <w:rsid w:val="00C823AE"/>
    <w:rsid w:val="00C839C6"/>
    <w:rsid w:val="00C84B4C"/>
    <w:rsid w:val="00C85D41"/>
    <w:rsid w:val="00C87EE9"/>
    <w:rsid w:val="00C916E9"/>
    <w:rsid w:val="00C91CF8"/>
    <w:rsid w:val="00C9468B"/>
    <w:rsid w:val="00C946A4"/>
    <w:rsid w:val="00C966B2"/>
    <w:rsid w:val="00CA240E"/>
    <w:rsid w:val="00CA2F4C"/>
    <w:rsid w:val="00CA3294"/>
    <w:rsid w:val="00CA3E2B"/>
    <w:rsid w:val="00CA50DB"/>
    <w:rsid w:val="00CA53F2"/>
    <w:rsid w:val="00CA5F93"/>
    <w:rsid w:val="00CA7671"/>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E262F"/>
    <w:rsid w:val="00CE2D6C"/>
    <w:rsid w:val="00CE43CE"/>
    <w:rsid w:val="00CE68E2"/>
    <w:rsid w:val="00CE6AF6"/>
    <w:rsid w:val="00CE713B"/>
    <w:rsid w:val="00CF1B3A"/>
    <w:rsid w:val="00CF2A1E"/>
    <w:rsid w:val="00CF7DBB"/>
    <w:rsid w:val="00D027C4"/>
    <w:rsid w:val="00D03569"/>
    <w:rsid w:val="00D06487"/>
    <w:rsid w:val="00D07212"/>
    <w:rsid w:val="00D078F3"/>
    <w:rsid w:val="00D10531"/>
    <w:rsid w:val="00D135BD"/>
    <w:rsid w:val="00D1374A"/>
    <w:rsid w:val="00D14494"/>
    <w:rsid w:val="00D15C62"/>
    <w:rsid w:val="00D1709F"/>
    <w:rsid w:val="00D2025D"/>
    <w:rsid w:val="00D20E84"/>
    <w:rsid w:val="00D20ED0"/>
    <w:rsid w:val="00D21AEC"/>
    <w:rsid w:val="00D27096"/>
    <w:rsid w:val="00D30370"/>
    <w:rsid w:val="00D32181"/>
    <w:rsid w:val="00D34134"/>
    <w:rsid w:val="00D34DA1"/>
    <w:rsid w:val="00D35660"/>
    <w:rsid w:val="00D356EE"/>
    <w:rsid w:val="00D35910"/>
    <w:rsid w:val="00D37A12"/>
    <w:rsid w:val="00D418FD"/>
    <w:rsid w:val="00D41C52"/>
    <w:rsid w:val="00D42EE0"/>
    <w:rsid w:val="00D433CE"/>
    <w:rsid w:val="00D453CB"/>
    <w:rsid w:val="00D45EFE"/>
    <w:rsid w:val="00D46A9E"/>
    <w:rsid w:val="00D5116B"/>
    <w:rsid w:val="00D53078"/>
    <w:rsid w:val="00D55B85"/>
    <w:rsid w:val="00D56BEB"/>
    <w:rsid w:val="00D5737F"/>
    <w:rsid w:val="00D57C2B"/>
    <w:rsid w:val="00D61236"/>
    <w:rsid w:val="00D6199E"/>
    <w:rsid w:val="00D64FCF"/>
    <w:rsid w:val="00D66297"/>
    <w:rsid w:val="00D70A95"/>
    <w:rsid w:val="00D716A2"/>
    <w:rsid w:val="00D71C81"/>
    <w:rsid w:val="00D72EF0"/>
    <w:rsid w:val="00D74C3B"/>
    <w:rsid w:val="00D84610"/>
    <w:rsid w:val="00D84F89"/>
    <w:rsid w:val="00D92AD5"/>
    <w:rsid w:val="00D96749"/>
    <w:rsid w:val="00D97FE8"/>
    <w:rsid w:val="00DA09A8"/>
    <w:rsid w:val="00DA1783"/>
    <w:rsid w:val="00DA21E5"/>
    <w:rsid w:val="00DA2388"/>
    <w:rsid w:val="00DA25F9"/>
    <w:rsid w:val="00DA49C8"/>
    <w:rsid w:val="00DA691F"/>
    <w:rsid w:val="00DB3DEC"/>
    <w:rsid w:val="00DB43D0"/>
    <w:rsid w:val="00DC3642"/>
    <w:rsid w:val="00DC3CCF"/>
    <w:rsid w:val="00DC7A1C"/>
    <w:rsid w:val="00DD1372"/>
    <w:rsid w:val="00DD1E25"/>
    <w:rsid w:val="00DD2BBA"/>
    <w:rsid w:val="00DD2D19"/>
    <w:rsid w:val="00DD448B"/>
    <w:rsid w:val="00DD6C80"/>
    <w:rsid w:val="00DD6E52"/>
    <w:rsid w:val="00DD72EB"/>
    <w:rsid w:val="00DE1DB7"/>
    <w:rsid w:val="00DE396E"/>
    <w:rsid w:val="00DE3A82"/>
    <w:rsid w:val="00DE50A4"/>
    <w:rsid w:val="00DE7CA7"/>
    <w:rsid w:val="00DF1E3C"/>
    <w:rsid w:val="00DF2312"/>
    <w:rsid w:val="00DF335F"/>
    <w:rsid w:val="00DF4FDA"/>
    <w:rsid w:val="00DF7630"/>
    <w:rsid w:val="00DF7EA7"/>
    <w:rsid w:val="00E02E12"/>
    <w:rsid w:val="00E0340E"/>
    <w:rsid w:val="00E04019"/>
    <w:rsid w:val="00E046CA"/>
    <w:rsid w:val="00E10D24"/>
    <w:rsid w:val="00E11B45"/>
    <w:rsid w:val="00E11B94"/>
    <w:rsid w:val="00E1272B"/>
    <w:rsid w:val="00E14AE5"/>
    <w:rsid w:val="00E16256"/>
    <w:rsid w:val="00E17853"/>
    <w:rsid w:val="00E17ECD"/>
    <w:rsid w:val="00E207F8"/>
    <w:rsid w:val="00E2167D"/>
    <w:rsid w:val="00E257AC"/>
    <w:rsid w:val="00E32880"/>
    <w:rsid w:val="00E32C76"/>
    <w:rsid w:val="00E33840"/>
    <w:rsid w:val="00E40B4E"/>
    <w:rsid w:val="00E4247B"/>
    <w:rsid w:val="00E42A1F"/>
    <w:rsid w:val="00E44FCD"/>
    <w:rsid w:val="00E45915"/>
    <w:rsid w:val="00E46E8F"/>
    <w:rsid w:val="00E5156B"/>
    <w:rsid w:val="00E5279E"/>
    <w:rsid w:val="00E54961"/>
    <w:rsid w:val="00E5517E"/>
    <w:rsid w:val="00E56C77"/>
    <w:rsid w:val="00E60B78"/>
    <w:rsid w:val="00E6206B"/>
    <w:rsid w:val="00E634C7"/>
    <w:rsid w:val="00E63C46"/>
    <w:rsid w:val="00E65437"/>
    <w:rsid w:val="00E66A28"/>
    <w:rsid w:val="00E67BB9"/>
    <w:rsid w:val="00E70258"/>
    <w:rsid w:val="00E72CD9"/>
    <w:rsid w:val="00E72F78"/>
    <w:rsid w:val="00E732E5"/>
    <w:rsid w:val="00E7354A"/>
    <w:rsid w:val="00E75254"/>
    <w:rsid w:val="00E76C35"/>
    <w:rsid w:val="00E76CDE"/>
    <w:rsid w:val="00E775C9"/>
    <w:rsid w:val="00E807DD"/>
    <w:rsid w:val="00E851C3"/>
    <w:rsid w:val="00E85556"/>
    <w:rsid w:val="00E87DAA"/>
    <w:rsid w:val="00E911A7"/>
    <w:rsid w:val="00E92342"/>
    <w:rsid w:val="00E93786"/>
    <w:rsid w:val="00E94B7E"/>
    <w:rsid w:val="00E97E1A"/>
    <w:rsid w:val="00EA0FFE"/>
    <w:rsid w:val="00EA2781"/>
    <w:rsid w:val="00EA2DC4"/>
    <w:rsid w:val="00EA4DE3"/>
    <w:rsid w:val="00EB0804"/>
    <w:rsid w:val="00EB131B"/>
    <w:rsid w:val="00EB153A"/>
    <w:rsid w:val="00EB1B3B"/>
    <w:rsid w:val="00EB4A29"/>
    <w:rsid w:val="00EB4F60"/>
    <w:rsid w:val="00EC44E0"/>
    <w:rsid w:val="00ED06B1"/>
    <w:rsid w:val="00ED53AD"/>
    <w:rsid w:val="00ED541E"/>
    <w:rsid w:val="00ED6401"/>
    <w:rsid w:val="00EE2519"/>
    <w:rsid w:val="00EE2D37"/>
    <w:rsid w:val="00EE507A"/>
    <w:rsid w:val="00EE6005"/>
    <w:rsid w:val="00EF3D84"/>
    <w:rsid w:val="00F02138"/>
    <w:rsid w:val="00F02B9B"/>
    <w:rsid w:val="00F1201A"/>
    <w:rsid w:val="00F12C11"/>
    <w:rsid w:val="00F1547A"/>
    <w:rsid w:val="00F21FD2"/>
    <w:rsid w:val="00F2341E"/>
    <w:rsid w:val="00F23635"/>
    <w:rsid w:val="00F2379C"/>
    <w:rsid w:val="00F246AC"/>
    <w:rsid w:val="00F25380"/>
    <w:rsid w:val="00F2590A"/>
    <w:rsid w:val="00F27840"/>
    <w:rsid w:val="00F300D8"/>
    <w:rsid w:val="00F3196E"/>
    <w:rsid w:val="00F320EB"/>
    <w:rsid w:val="00F333CC"/>
    <w:rsid w:val="00F374BC"/>
    <w:rsid w:val="00F405D3"/>
    <w:rsid w:val="00F40B01"/>
    <w:rsid w:val="00F41760"/>
    <w:rsid w:val="00F42024"/>
    <w:rsid w:val="00F438B2"/>
    <w:rsid w:val="00F43E24"/>
    <w:rsid w:val="00F44864"/>
    <w:rsid w:val="00F50C1C"/>
    <w:rsid w:val="00F5203C"/>
    <w:rsid w:val="00F54621"/>
    <w:rsid w:val="00F645C3"/>
    <w:rsid w:val="00F6575A"/>
    <w:rsid w:val="00F65FED"/>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97A1D"/>
    <w:rsid w:val="00FA15C4"/>
    <w:rsid w:val="00FA21A2"/>
    <w:rsid w:val="00FA7212"/>
    <w:rsid w:val="00FB18B4"/>
    <w:rsid w:val="00FB397F"/>
    <w:rsid w:val="00FB647D"/>
    <w:rsid w:val="00FC0157"/>
    <w:rsid w:val="00FC46B9"/>
    <w:rsid w:val="00FC659E"/>
    <w:rsid w:val="00FD0DE1"/>
    <w:rsid w:val="00FD3B6B"/>
    <w:rsid w:val="00FD4255"/>
    <w:rsid w:val="00FD636B"/>
    <w:rsid w:val="00FD720A"/>
    <w:rsid w:val="00FE334E"/>
    <w:rsid w:val="00FE387E"/>
    <w:rsid w:val="00FE4658"/>
    <w:rsid w:val="00FE47DE"/>
    <w:rsid w:val="00FE4BB2"/>
    <w:rsid w:val="00FE5F23"/>
    <w:rsid w:val="00FE7CE8"/>
    <w:rsid w:val="00FE7EBB"/>
    <w:rsid w:val="00FF0B1A"/>
    <w:rsid w:val="00FF0D38"/>
    <w:rsid w:val="00FF2DD2"/>
    <w:rsid w:val="00FF4790"/>
    <w:rsid w:val="00FF47BB"/>
    <w:rsid w:val="00FF5174"/>
    <w:rsid w:val="00FF6014"/>
    <w:rsid w:val="00FF7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D69D"/>
  <w15:chartTrackingRefBased/>
  <w15:docId w15:val="{E7998388-BCB0-4B73-B4B2-CACD94EF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3B3D"/>
    <w:rPr>
      <w:rFonts w:ascii="Times New Roman" w:eastAsia="Times New Roman" w:hAnsi="Times New Roman"/>
      <w:sz w:val="24"/>
      <w:szCs w:val="24"/>
      <w:lang w:eastAsia="es-ES"/>
    </w:rPr>
  </w:style>
  <w:style w:type="paragraph" w:styleId="Ttulo1">
    <w:name w:val="heading 1"/>
    <w:basedOn w:val="Normal"/>
    <w:next w:val="Normal"/>
    <w:link w:val="Ttulo1Car"/>
    <w:qFormat/>
    <w:rsid w:val="00143B3D"/>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8C75B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3B3D"/>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143B3D"/>
    <w:pPr>
      <w:tabs>
        <w:tab w:val="center" w:pos="4252"/>
        <w:tab w:val="right" w:pos="8504"/>
      </w:tabs>
    </w:pPr>
  </w:style>
  <w:style w:type="character" w:customStyle="1" w:styleId="PiedepginaCar">
    <w:name w:val="Pie de página Car"/>
    <w:link w:val="Piedepgina"/>
    <w:rsid w:val="00143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3B3D"/>
  </w:style>
  <w:style w:type="paragraph" w:styleId="Textoindependiente">
    <w:name w:val="Body Text"/>
    <w:basedOn w:val="Normal"/>
    <w:link w:val="TextoindependienteCar"/>
    <w:rsid w:val="00143B3D"/>
    <w:pPr>
      <w:spacing w:after="120"/>
    </w:pPr>
    <w:rPr>
      <w:rFonts w:eastAsia="SimSun"/>
    </w:rPr>
  </w:style>
  <w:style w:type="character" w:customStyle="1" w:styleId="TextoindependienteCar">
    <w:name w:val="Texto independiente Car"/>
    <w:link w:val="Textoindependiente"/>
    <w:rsid w:val="00143B3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43B3D"/>
    <w:pPr>
      <w:tabs>
        <w:tab w:val="center" w:pos="4419"/>
        <w:tab w:val="right" w:pos="8838"/>
      </w:tabs>
    </w:pPr>
  </w:style>
  <w:style w:type="character" w:customStyle="1" w:styleId="EncabezadoCar">
    <w:name w:val="Encabezado Car"/>
    <w:link w:val="Encabezado"/>
    <w:uiPriority w:val="99"/>
    <w:rsid w:val="00143B3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143B3D"/>
    <w:pPr>
      <w:spacing w:after="120" w:line="480" w:lineRule="auto"/>
    </w:pPr>
  </w:style>
  <w:style w:type="character" w:customStyle="1" w:styleId="Textoindependiente2Car">
    <w:name w:val="Texto independiente 2 Car"/>
    <w:link w:val="Textoindependiente2"/>
    <w:uiPriority w:val="99"/>
    <w:rsid w:val="00143B3D"/>
    <w:rPr>
      <w:rFonts w:ascii="Times New Roman" w:eastAsia="Times New Roman" w:hAnsi="Times New Roman" w:cs="Times New Roman"/>
      <w:sz w:val="24"/>
      <w:szCs w:val="24"/>
      <w:lang w:val="es-ES" w:eastAsia="es-ES"/>
    </w:rPr>
  </w:style>
  <w:style w:type="character" w:customStyle="1" w:styleId="CharacterStyle2">
    <w:name w:val="Character Style 2"/>
    <w:uiPriority w:val="99"/>
    <w:rsid w:val="00143B3D"/>
    <w:rPr>
      <w:sz w:val="20"/>
      <w:szCs w:val="20"/>
    </w:rPr>
  </w:style>
  <w:style w:type="paragraph" w:styleId="Prrafodelista">
    <w:name w:val="List Paragraph"/>
    <w:basedOn w:val="Normal"/>
    <w:uiPriority w:val="34"/>
    <w:qFormat/>
    <w:rsid w:val="00143B3D"/>
    <w:pPr>
      <w:ind w:left="720"/>
      <w:contextualSpacing/>
    </w:pPr>
  </w:style>
  <w:style w:type="paragraph" w:styleId="Sinespaciado">
    <w:name w:val="No Spacing"/>
    <w:link w:val="SinespaciadoCar"/>
    <w:uiPriority w:val="1"/>
    <w:qFormat/>
    <w:rsid w:val="00143B3D"/>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281B49"/>
  </w:style>
  <w:style w:type="paragraph" w:customStyle="1" w:styleId="juris">
    <w:name w:val="juris"/>
    <w:basedOn w:val="Normal"/>
    <w:rsid w:val="00281B49"/>
    <w:pPr>
      <w:spacing w:before="100" w:beforeAutospacing="1" w:after="100" w:afterAutospacing="1"/>
    </w:pPr>
    <w:rPr>
      <w:lang w:eastAsia="es-CR"/>
    </w:rPr>
  </w:style>
  <w:style w:type="character" w:styleId="Hipervnculo">
    <w:name w:val="Hyperlink"/>
    <w:uiPriority w:val="99"/>
    <w:semiHidden/>
    <w:unhideWhenUsed/>
    <w:rsid w:val="00281B49"/>
    <w:rPr>
      <w:color w:val="0000FF"/>
      <w:u w:val="single"/>
    </w:rPr>
  </w:style>
  <w:style w:type="character" w:customStyle="1" w:styleId="Ttulo2Car">
    <w:name w:val="Título 2 Car"/>
    <w:link w:val="Ttulo2"/>
    <w:uiPriority w:val="9"/>
    <w:semiHidden/>
    <w:rsid w:val="008C75B7"/>
    <w:rPr>
      <w:rFonts w:ascii="Calibri Light" w:eastAsia="Times New Roman" w:hAnsi="Calibri Light" w:cs="Times New Roman"/>
      <w:b/>
      <w:bCs/>
      <w:i/>
      <w:iCs/>
      <w:sz w:val="28"/>
      <w:szCs w:val="28"/>
      <w:lang w:val="es-ES" w:eastAsia="es-ES"/>
    </w:rPr>
  </w:style>
  <w:style w:type="character" w:customStyle="1" w:styleId="CharacterStyle1">
    <w:name w:val="Character Style 1"/>
    <w:uiPriority w:val="99"/>
    <w:rsid w:val="008C75B7"/>
    <w:rPr>
      <w:sz w:val="18"/>
      <w:szCs w:val="18"/>
    </w:rPr>
  </w:style>
  <w:style w:type="character" w:customStyle="1" w:styleId="SinespaciadoCar">
    <w:name w:val="Sin espaciado Car"/>
    <w:link w:val="Sinespaciado"/>
    <w:uiPriority w:val="1"/>
    <w:rsid w:val="008C75B7"/>
    <w:rPr>
      <w:rFonts w:ascii="Times New Roman" w:eastAsia="Times New Roman" w:hAnsi="Times New Roman"/>
      <w:sz w:val="24"/>
      <w:szCs w:val="24"/>
      <w:lang w:val="es-ES" w:eastAsia="es-ES"/>
    </w:rPr>
  </w:style>
  <w:style w:type="character" w:customStyle="1" w:styleId="CharacterStyle6">
    <w:name w:val="Character Style 6"/>
    <w:uiPriority w:val="99"/>
    <w:rsid w:val="008C75B7"/>
    <w:rPr>
      <w:sz w:val="20"/>
      <w:szCs w:val="20"/>
    </w:rPr>
  </w:style>
  <w:style w:type="paragraph" w:customStyle="1" w:styleId="Style9">
    <w:name w:val="Style 9"/>
    <w:basedOn w:val="Normal"/>
    <w:uiPriority w:val="99"/>
    <w:rsid w:val="008C75B7"/>
    <w:pPr>
      <w:widowControl w:val="0"/>
      <w:autoSpaceDE w:val="0"/>
      <w:autoSpaceDN w:val="0"/>
      <w:spacing w:before="252"/>
      <w:ind w:right="72"/>
      <w:jc w:val="both"/>
    </w:pPr>
    <w:rPr>
      <w:sz w:val="23"/>
      <w:szCs w:val="23"/>
      <w:lang w:val="en-US" w:eastAsia="es-CR"/>
    </w:rPr>
  </w:style>
  <w:style w:type="paragraph" w:customStyle="1" w:styleId="Default">
    <w:name w:val="Default"/>
    <w:rsid w:val="00B91924"/>
    <w:pPr>
      <w:autoSpaceDE w:val="0"/>
      <w:autoSpaceDN w:val="0"/>
      <w:adjustRightInd w:val="0"/>
    </w:pPr>
    <w:rPr>
      <w:rFonts w:cs="Calibri"/>
      <w:color w:val="000000"/>
      <w:sz w:val="24"/>
      <w:szCs w:val="24"/>
    </w:rPr>
  </w:style>
  <w:style w:type="paragraph" w:styleId="Textodeglobo">
    <w:name w:val="Balloon Text"/>
    <w:basedOn w:val="Normal"/>
    <w:link w:val="TextodegloboCar"/>
    <w:uiPriority w:val="99"/>
    <w:semiHidden/>
    <w:unhideWhenUsed/>
    <w:rsid w:val="00A56E3C"/>
    <w:rPr>
      <w:rFonts w:ascii="Segoe UI" w:hAnsi="Segoe UI" w:cs="Segoe UI"/>
      <w:sz w:val="18"/>
      <w:szCs w:val="18"/>
    </w:rPr>
  </w:style>
  <w:style w:type="character" w:customStyle="1" w:styleId="TextodegloboCar">
    <w:name w:val="Texto de globo Car"/>
    <w:link w:val="Textodeglobo"/>
    <w:uiPriority w:val="99"/>
    <w:semiHidden/>
    <w:rsid w:val="00A56E3C"/>
    <w:rPr>
      <w:rFonts w:ascii="Segoe UI" w:eastAsia="Times New Roman" w:hAnsi="Segoe UI" w:cs="Segoe UI"/>
      <w:sz w:val="18"/>
      <w:szCs w:val="18"/>
      <w:lang w:val="es-ES" w:eastAsia="es-ES"/>
    </w:rPr>
  </w:style>
  <w:style w:type="paragraph" w:styleId="Textosinformato">
    <w:name w:val="Plain Text"/>
    <w:basedOn w:val="Normal"/>
    <w:link w:val="TextosinformatoCar"/>
    <w:rsid w:val="0097136B"/>
    <w:rPr>
      <w:rFonts w:ascii="Courier New" w:hAnsi="Courier New"/>
      <w:sz w:val="20"/>
      <w:szCs w:val="20"/>
    </w:rPr>
  </w:style>
  <w:style w:type="character" w:customStyle="1" w:styleId="TextosinformatoCar">
    <w:name w:val="Texto sin formato Car"/>
    <w:link w:val="Textosinformato"/>
    <w:rsid w:val="0097136B"/>
    <w:rPr>
      <w:rFonts w:ascii="Courier New" w:eastAsia="Times New Roman" w:hAnsi="Courier New"/>
      <w:lang w:val="es-ES" w:eastAsia="es-ES"/>
    </w:rPr>
  </w:style>
  <w:style w:type="paragraph" w:customStyle="1" w:styleId="noparagraphstyle">
    <w:name w:val="noparagraphstyle"/>
    <w:basedOn w:val="Normal"/>
    <w:rsid w:val="0097136B"/>
    <w:pPr>
      <w:spacing w:before="100" w:beforeAutospacing="1" w:after="100" w:afterAutospacing="1"/>
    </w:pPr>
    <w:rPr>
      <w:lang w:eastAsia="es-CR"/>
    </w:rPr>
  </w:style>
  <w:style w:type="paragraph" w:customStyle="1" w:styleId="Style2">
    <w:name w:val="Style 2"/>
    <w:basedOn w:val="Normal"/>
    <w:uiPriority w:val="99"/>
    <w:rsid w:val="0097136B"/>
    <w:pPr>
      <w:widowControl w:val="0"/>
      <w:autoSpaceDE w:val="0"/>
      <w:autoSpaceDN w:val="0"/>
      <w:adjustRightInd w:val="0"/>
    </w:pPr>
    <w:rPr>
      <w:sz w:val="23"/>
      <w:szCs w:val="23"/>
      <w:lang w:val="en-US" w:eastAsia="es-CR"/>
    </w:rPr>
  </w:style>
  <w:style w:type="paragraph" w:customStyle="1" w:styleId="Style3">
    <w:name w:val="Style 3"/>
    <w:basedOn w:val="Normal"/>
    <w:uiPriority w:val="99"/>
    <w:rsid w:val="0097136B"/>
    <w:pPr>
      <w:widowControl w:val="0"/>
      <w:autoSpaceDE w:val="0"/>
      <w:autoSpaceDN w:val="0"/>
      <w:ind w:right="1152"/>
      <w:jc w:val="both"/>
    </w:pPr>
    <w:rPr>
      <w:sz w:val="23"/>
      <w:szCs w:val="23"/>
      <w:lang w:val="en-US" w:eastAsia="es-CR"/>
    </w:rPr>
  </w:style>
  <w:style w:type="paragraph" w:customStyle="1" w:styleId="Style10">
    <w:name w:val="Style 10"/>
    <w:basedOn w:val="Normal"/>
    <w:uiPriority w:val="99"/>
    <w:rsid w:val="0097136B"/>
    <w:pPr>
      <w:widowControl w:val="0"/>
      <w:autoSpaceDE w:val="0"/>
      <w:autoSpaceDN w:val="0"/>
      <w:spacing w:before="252"/>
      <w:jc w:val="both"/>
    </w:pPr>
    <w:rPr>
      <w:lang w:val="en-US" w:eastAsia="es-CR"/>
    </w:rPr>
  </w:style>
  <w:style w:type="paragraph" w:customStyle="1" w:styleId="Style7">
    <w:name w:val="Style 7"/>
    <w:basedOn w:val="Normal"/>
    <w:uiPriority w:val="99"/>
    <w:rsid w:val="0097136B"/>
    <w:pPr>
      <w:widowControl w:val="0"/>
      <w:autoSpaceDE w:val="0"/>
      <w:autoSpaceDN w:val="0"/>
      <w:adjustRightInd w:val="0"/>
    </w:pPr>
    <w:rPr>
      <w:sz w:val="20"/>
      <w:szCs w:val="20"/>
      <w:lang w:val="en-US" w:eastAsia="es-CR"/>
    </w:rPr>
  </w:style>
  <w:style w:type="paragraph" w:customStyle="1" w:styleId="Style11">
    <w:name w:val="Style 11"/>
    <w:basedOn w:val="Normal"/>
    <w:uiPriority w:val="99"/>
    <w:rsid w:val="0097136B"/>
    <w:pPr>
      <w:widowControl w:val="0"/>
      <w:autoSpaceDE w:val="0"/>
      <w:autoSpaceDN w:val="0"/>
      <w:spacing w:before="324"/>
      <w:ind w:left="864" w:right="864"/>
      <w:jc w:val="both"/>
    </w:pPr>
    <w:rPr>
      <w:sz w:val="21"/>
      <w:szCs w:val="21"/>
      <w:lang w:val="en-US" w:eastAsia="es-CR"/>
    </w:rPr>
  </w:style>
  <w:style w:type="character" w:customStyle="1" w:styleId="CharacterStyle5">
    <w:name w:val="Character Style 5"/>
    <w:uiPriority w:val="99"/>
    <w:rsid w:val="0097136B"/>
    <w:rPr>
      <w:sz w:val="21"/>
    </w:rPr>
  </w:style>
  <w:style w:type="character" w:customStyle="1" w:styleId="CharacterStyle4">
    <w:name w:val="Character Style 4"/>
    <w:uiPriority w:val="99"/>
    <w:rsid w:val="0097136B"/>
    <w:rPr>
      <w:sz w:val="20"/>
    </w:rPr>
  </w:style>
  <w:style w:type="paragraph" w:customStyle="1" w:styleId="Style1">
    <w:name w:val="Style 1"/>
    <w:basedOn w:val="Normal"/>
    <w:uiPriority w:val="99"/>
    <w:rsid w:val="00297208"/>
    <w:pPr>
      <w:widowControl w:val="0"/>
      <w:autoSpaceDE w:val="0"/>
      <w:autoSpaceDN w:val="0"/>
      <w:adjustRightInd w:val="0"/>
    </w:pPr>
    <w:rPr>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DA8B-7A95-480F-B6CF-9C28BBD2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3834</Words>
  <Characters>21087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cp:lastModifiedBy>Tatiana Montero Salguero</cp:lastModifiedBy>
  <cp:revision>4</cp:revision>
  <cp:lastPrinted>2017-01-16T16:43:00Z</cp:lastPrinted>
  <dcterms:created xsi:type="dcterms:W3CDTF">2017-02-28T16:19:00Z</dcterms:created>
  <dcterms:modified xsi:type="dcterms:W3CDTF">2017-02-28T16:23:00Z</dcterms:modified>
</cp:coreProperties>
</file>